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457200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482600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3"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w:t>
      </w:r>
    </w:p>
    <w:p>
      <w:pPr>
        <w:spacing w:after="0" w:line="8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50"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w:t>
      </w:r>
    </w:p>
    <w:p>
      <w:pPr>
        <w:spacing w:after="0" w:line="1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(Mark One)</w:t>
      </w:r>
    </w:p>
    <w:p>
      <w:pPr>
        <w:spacing w:after="0" w:line="289" w:lineRule="exact"/>
        <w:rPr>
          <w:sz w:val="24"/>
          <w:szCs w:val="24"/>
          <w:color w:val="auto"/>
        </w:rPr>
      </w:pPr>
    </w:p>
    <w:p>
      <w:pPr>
        <w:ind w:left="1880" w:hanging="637"/>
        <w:spacing w:after="0"/>
        <w:tabs>
          <w:tab w:leader="none" w:pos="18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QUARTERLY REPORT PURSUANT TO SECTION 13 OR 15(d) OF THE SECURITIES EXCHANGE ACT OF 1934</w:t>
      </w:r>
    </w:p>
    <w:p>
      <w:pPr>
        <w:spacing w:after="0" w:line="17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 the quarterly period ended September 30, 2024</w:t>
      </w:r>
    </w:p>
    <w:p>
      <w:pPr>
        <w:spacing w:after="0" w:line="11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OR</w:t>
      </w:r>
    </w:p>
    <w:p>
      <w:pPr>
        <w:spacing w:after="0" w:line="54" w:lineRule="exact"/>
        <w:rPr>
          <w:sz w:val="24"/>
          <w:szCs w:val="24"/>
          <w:color w:val="auto"/>
        </w:rPr>
      </w:pPr>
    </w:p>
    <w:p>
      <w:pPr>
        <w:ind w:left="1860" w:hanging="617"/>
        <w:spacing w:after="0"/>
        <w:tabs>
          <w:tab w:leader="none" w:pos="18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TRANSITION REPORT PURSUANT TO SECTION 13 OR 15(d) OF THE SECURITIES EXCHANGE ACT OF 1934</w:t>
      </w:r>
    </w:p>
    <w:p>
      <w:pPr>
        <w:spacing w:after="0" w:line="238"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8"/>
          <w:szCs w:val="18"/>
          <w:color w:val="auto"/>
        </w:rPr>
        <w:t>For the transition period from ______ to ______</w:t>
      </w:r>
    </w:p>
    <w:p>
      <w:pPr>
        <w:spacing w:after="0" w:line="11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Commission file number 001-39907</w:t>
      </w:r>
    </w:p>
    <w:p>
      <w:pPr>
        <w:spacing w:after="0" w:line="21"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w:t>
      </w:r>
    </w:p>
    <w:p>
      <w:pPr>
        <w:spacing w:after="0" w:line="16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SONDER HOLDINGS INC.</w:t>
      </w:r>
    </w:p>
    <w:p>
      <w:pPr>
        <w:spacing w:after="0" w:line="50"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4"/>
          <w:szCs w:val="14"/>
          <w:b w:val="1"/>
          <w:bCs w:val="1"/>
          <w:color w:val="auto"/>
        </w:rPr>
        <w:t>___________________________________</w:t>
      </w:r>
    </w:p>
    <w:p>
      <w:pPr>
        <w:spacing w:after="0" w:line="5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5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02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rPr>
              <w:t>Delaware</w:t>
            </w:r>
          </w:p>
        </w:tc>
        <w:tc>
          <w:tcPr>
            <w:tcW w:w="6220" w:type="dxa"/>
            <w:vAlign w:val="bottom"/>
            <w:gridSpan w:val="3"/>
          </w:tcPr>
          <w:p>
            <w:pPr>
              <w:jc w:val="center"/>
              <w:ind w:left="550"/>
              <w:spacing w:after="0"/>
              <w:rPr>
                <w:sz w:val="20"/>
                <w:szCs w:val="20"/>
                <w:color w:val="auto"/>
              </w:rPr>
            </w:pPr>
            <w:r>
              <w:rPr>
                <w:rFonts w:ascii="Times New Roman" w:cs="Times New Roman" w:eastAsia="Times New Roman" w:hAnsi="Times New Roman"/>
                <w:sz w:val="18"/>
                <w:szCs w:val="18"/>
                <w:color w:val="auto"/>
                <w:w w:val="98"/>
              </w:rPr>
              <w:t>85-2097088</w:t>
            </w:r>
          </w:p>
        </w:tc>
      </w:tr>
      <w:tr>
        <w:trPr>
          <w:trHeight w:val="27"/>
        </w:trPr>
        <w:tc>
          <w:tcPr>
            <w:tcW w:w="5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r>
      <w:tr>
        <w:trPr>
          <w:trHeight w:val="228"/>
        </w:trPr>
        <w:tc>
          <w:tcPr>
            <w:tcW w:w="502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20"/>
        </w:trPr>
        <w:tc>
          <w:tcPr>
            <w:tcW w:w="502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rPr>
              <w:t>447 Sutter St. Suite 405, #542</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580" w:type="dxa"/>
            <w:vAlign w:val="bottom"/>
          </w:tcPr>
          <w:p>
            <w:pPr>
              <w:spacing w:after="0"/>
              <w:rPr>
                <w:sz w:val="19"/>
                <w:szCs w:val="19"/>
                <w:color w:val="auto"/>
              </w:rPr>
            </w:pPr>
          </w:p>
        </w:tc>
      </w:tr>
      <w:tr>
        <w:trPr>
          <w:trHeight w:val="234"/>
        </w:trPr>
        <w:tc>
          <w:tcPr>
            <w:tcW w:w="502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San Francisco, California</w:t>
            </w:r>
          </w:p>
        </w:tc>
        <w:tc>
          <w:tcPr>
            <w:tcW w:w="6220" w:type="dxa"/>
            <w:vAlign w:val="bottom"/>
            <w:gridSpan w:val="3"/>
          </w:tcPr>
          <w:p>
            <w:pPr>
              <w:jc w:val="center"/>
              <w:ind w:left="590"/>
              <w:spacing w:after="0"/>
              <w:rPr>
                <w:sz w:val="20"/>
                <w:szCs w:val="20"/>
                <w:color w:val="auto"/>
              </w:rPr>
            </w:pPr>
            <w:r>
              <w:rPr>
                <w:rFonts w:ascii="Times New Roman" w:cs="Times New Roman" w:eastAsia="Times New Roman" w:hAnsi="Times New Roman"/>
                <w:sz w:val="18"/>
                <w:szCs w:val="18"/>
                <w:color w:val="auto"/>
              </w:rPr>
              <w:t>94108</w:t>
            </w:r>
          </w:p>
        </w:tc>
      </w:tr>
      <w:tr>
        <w:trPr>
          <w:trHeight w:val="27"/>
        </w:trPr>
        <w:tc>
          <w:tcPr>
            <w:tcW w:w="5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r>
      <w:tr>
        <w:trPr>
          <w:trHeight w:val="228"/>
        </w:trPr>
        <w:tc>
          <w:tcPr>
            <w:tcW w:w="502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441"/>
        </w:trPr>
        <w:tc>
          <w:tcPr>
            <w:tcW w:w="5020" w:type="dxa"/>
            <w:vAlign w:val="bottom"/>
          </w:tcPr>
          <w:p>
            <w:pPr>
              <w:spacing w:after="0"/>
              <w:rPr>
                <w:sz w:val="24"/>
                <w:szCs w:val="24"/>
                <w:color w:val="auto"/>
              </w:rPr>
            </w:pPr>
          </w:p>
        </w:tc>
        <w:tc>
          <w:tcPr>
            <w:tcW w:w="6220" w:type="dxa"/>
            <w:vAlign w:val="bottom"/>
            <w:gridSpan w:val="3"/>
          </w:tcPr>
          <w:p>
            <w:pPr>
              <w:jc w:val="right"/>
              <w:ind w:right="4970"/>
              <w:spacing w:after="0"/>
              <w:rPr>
                <w:sz w:val="20"/>
                <w:szCs w:val="20"/>
                <w:color w:val="auto"/>
              </w:rPr>
            </w:pPr>
            <w:r>
              <w:rPr>
                <w:rFonts w:ascii="Times New Roman" w:cs="Times New Roman" w:eastAsia="Times New Roman" w:hAnsi="Times New Roman"/>
                <w:sz w:val="18"/>
                <w:szCs w:val="18"/>
                <w:color w:val="auto"/>
              </w:rPr>
              <w:t>(617) 300-0956</w:t>
            </w:r>
          </w:p>
        </w:tc>
      </w:tr>
    </w:tbl>
    <w:p>
      <w:pPr>
        <w:jc w:val="center"/>
        <w:ind w:right="2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9"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1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42"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44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3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c>
          <w:tcPr>
            <w:tcW w:w="0" w:type="dxa"/>
            <w:vAlign w:val="bottom"/>
          </w:tcPr>
          <w:p>
            <w:pPr>
              <w:spacing w:after="0"/>
              <w:rPr>
                <w:sz w:val="1"/>
                <w:szCs w:val="1"/>
                <w:color w:val="auto"/>
              </w:rPr>
            </w:pPr>
          </w:p>
        </w:tc>
      </w:tr>
      <w:tr>
        <w:trPr>
          <w:trHeight w:val="223"/>
        </w:trPr>
        <w:tc>
          <w:tcPr>
            <w:tcW w:w="44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2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SOND</w:t>
            </w:r>
          </w:p>
        </w:tc>
        <w:tc>
          <w:tcPr>
            <w:tcW w:w="4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0" w:type="dxa"/>
            <w:vAlign w:val="bottom"/>
          </w:tcPr>
          <w:p>
            <w:pPr>
              <w:spacing w:after="0"/>
              <w:rPr>
                <w:sz w:val="1"/>
                <w:szCs w:val="1"/>
                <w:color w:val="auto"/>
              </w:rPr>
            </w:pPr>
          </w:p>
        </w:tc>
      </w:tr>
      <w:tr>
        <w:trPr>
          <w:trHeight w:val="169"/>
        </w:trPr>
        <w:tc>
          <w:tcPr>
            <w:tcW w:w="4400" w:type="dxa"/>
            <w:vAlign w:val="bottom"/>
            <w:tcBorders>
              <w:left w:val="single" w:sz="8" w:color="auto"/>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Warrants, each 20 whole warrants exercisable for one share</w:t>
            </w:r>
          </w:p>
        </w:tc>
        <w:tc>
          <w:tcPr>
            <w:tcW w:w="2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SONDW</w:t>
            </w:r>
          </w:p>
        </w:tc>
        <w:tc>
          <w:tcPr>
            <w:tcW w:w="4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0" w:type="dxa"/>
            <w:vAlign w:val="bottom"/>
          </w:tcPr>
          <w:p>
            <w:pPr>
              <w:spacing w:after="0"/>
              <w:rPr>
                <w:sz w:val="1"/>
                <w:szCs w:val="1"/>
                <w:color w:val="auto"/>
              </w:rPr>
            </w:pPr>
          </w:p>
        </w:tc>
      </w:tr>
      <w:tr>
        <w:trPr>
          <w:trHeight w:val="149"/>
        </w:trPr>
        <w:tc>
          <w:tcPr>
            <w:tcW w:w="4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of Common Stock at an exercise price of $230.00 per share</w:t>
            </w:r>
          </w:p>
        </w:tc>
        <w:tc>
          <w:tcPr>
            <w:tcW w:w="2480" w:type="dxa"/>
            <w:vAlign w:val="bottom"/>
            <w:tcBorders>
              <w:right w:val="single" w:sz="8" w:color="auto"/>
            </w:tcBorders>
            <w:vMerge w:val="continue"/>
          </w:tcPr>
          <w:p>
            <w:pPr>
              <w:spacing w:after="0"/>
              <w:rPr>
                <w:sz w:val="12"/>
                <w:szCs w:val="12"/>
                <w:color w:val="auto"/>
              </w:rPr>
            </w:pPr>
          </w:p>
        </w:tc>
        <w:tc>
          <w:tcPr>
            <w:tcW w:w="438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440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2480" w:type="dxa"/>
            <w:vAlign w:val="bottom"/>
            <w:tcBorders>
              <w:bottom w:val="single" w:sz="8" w:color="auto"/>
              <w:right w:val="single" w:sz="8" w:color="auto"/>
            </w:tcBorders>
          </w:tcPr>
          <w:p>
            <w:pPr>
              <w:spacing w:after="0"/>
              <w:rPr>
                <w:sz w:val="7"/>
                <w:szCs w:val="7"/>
                <w:color w:val="auto"/>
              </w:rPr>
            </w:pPr>
          </w:p>
        </w:tc>
        <w:tc>
          <w:tcPr>
            <w:tcW w:w="43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84" w:lineRule="exact"/>
        <w:rPr>
          <w:sz w:val="24"/>
          <w:szCs w:val="24"/>
          <w:color w:val="auto"/>
        </w:rPr>
      </w:pPr>
    </w:p>
    <w:p>
      <w:pPr>
        <w:ind w:right="26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right="38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6" w:lineRule="exact"/>
        <w:rPr>
          <w:sz w:val="24"/>
          <w:szCs w:val="24"/>
          <w:color w:val="auto"/>
        </w:rPr>
      </w:pPr>
    </w:p>
    <w:tbl>
      <w:tblPr>
        <w:tblLayout w:type="fixed"/>
        <w:tblInd w:w="20" w:type="dxa"/>
        <w:tblCellMar>
          <w:top w:w="0" w:type="dxa"/>
          <w:left w:w="0" w:type="dxa"/>
          <w:bottom w:w="0" w:type="dxa"/>
          <w:right w:w="0" w:type="dxa"/>
        </w:tblCellMar>
      </w:tblPr>
      <w:tr>
        <w:trPr>
          <w:trHeight w:val="303"/>
        </w:trPr>
        <w:tc>
          <w:tcPr>
            <w:tcW w:w="3400" w:type="dxa"/>
            <w:vAlign w:val="bottom"/>
          </w:tcPr>
          <w:p>
            <w:pPr>
              <w:jc w:val="center"/>
              <w:ind w:right="1690"/>
              <w:spacing w:after="0"/>
              <w:rPr>
                <w:sz w:val="20"/>
                <w:szCs w:val="20"/>
                <w:color w:val="auto"/>
              </w:rPr>
            </w:pPr>
            <w:r>
              <w:rPr>
                <w:rFonts w:ascii="Times New Roman" w:cs="Times New Roman" w:eastAsia="Times New Roman" w:hAnsi="Times New Roman"/>
                <w:sz w:val="18"/>
                <w:szCs w:val="18"/>
                <w:color w:val="auto"/>
              </w:rPr>
              <w:t>Large accelerated filer</w:t>
            </w:r>
          </w:p>
        </w:tc>
        <w:tc>
          <w:tcPr>
            <w:tcW w:w="2160" w:type="dxa"/>
            <w:vAlign w:val="bottom"/>
          </w:tcPr>
          <w:p>
            <w:pPr>
              <w:ind w:left="1780"/>
              <w:spacing w:after="0" w:line="181" w:lineRule="exact"/>
              <w:rPr>
                <w:sz w:val="20"/>
                <w:szCs w:val="20"/>
                <w:color w:val="auto"/>
              </w:rPr>
            </w:pPr>
            <w:r>
              <w:rPr>
                <w:rFonts w:ascii="MS PGothic" w:cs="MS PGothic" w:eastAsia="MS PGothic" w:hAnsi="MS PGothic"/>
                <w:sz w:val="18"/>
                <w:szCs w:val="18"/>
                <w:color w:val="auto"/>
              </w:rPr>
              <w:t>☐</w:t>
            </w:r>
          </w:p>
        </w:tc>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Accelerated filer</w:t>
            </w:r>
          </w:p>
        </w:tc>
        <w:tc>
          <w:tcPr>
            <w:tcW w:w="1840" w:type="dxa"/>
            <w:vAlign w:val="bottom"/>
          </w:tcPr>
          <w:p>
            <w:pPr>
              <w:ind w:left="1600"/>
              <w:spacing w:after="0" w:line="181" w:lineRule="exact"/>
              <w:rPr>
                <w:sz w:val="20"/>
                <w:szCs w:val="20"/>
                <w:color w:val="auto"/>
              </w:rPr>
            </w:pPr>
            <w:r>
              <w:rPr>
                <w:rFonts w:ascii="MS PGothic" w:cs="MS PGothic" w:eastAsia="MS PGothic" w:hAnsi="MS PGothic"/>
                <w:sz w:val="18"/>
                <w:szCs w:val="18"/>
                <w:color w:val="auto"/>
              </w:rPr>
              <w:t>☐</w:t>
            </w:r>
          </w:p>
        </w:tc>
      </w:tr>
      <w:tr>
        <w:trPr>
          <w:trHeight w:val="364"/>
        </w:trPr>
        <w:tc>
          <w:tcPr>
            <w:tcW w:w="3400" w:type="dxa"/>
            <w:vAlign w:val="bottom"/>
          </w:tcPr>
          <w:p>
            <w:pPr>
              <w:jc w:val="center"/>
              <w:ind w:right="1710"/>
              <w:spacing w:after="0"/>
              <w:rPr>
                <w:sz w:val="20"/>
                <w:szCs w:val="20"/>
                <w:color w:val="auto"/>
              </w:rPr>
            </w:pPr>
            <w:r>
              <w:rPr>
                <w:rFonts w:ascii="Times New Roman" w:cs="Times New Roman" w:eastAsia="Times New Roman" w:hAnsi="Times New Roman"/>
                <w:sz w:val="18"/>
                <w:szCs w:val="18"/>
                <w:color w:val="auto"/>
                <w:w w:val="99"/>
              </w:rPr>
              <w:t>Non-accelerated filer</w:t>
            </w:r>
          </w:p>
        </w:tc>
        <w:tc>
          <w:tcPr>
            <w:tcW w:w="2160" w:type="dxa"/>
            <w:vAlign w:val="bottom"/>
          </w:tcPr>
          <w:p>
            <w:pPr>
              <w:ind w:left="1880"/>
              <w:spacing w:after="0" w:line="181" w:lineRule="exact"/>
              <w:rPr>
                <w:sz w:val="20"/>
                <w:szCs w:val="20"/>
                <w:color w:val="auto"/>
              </w:rPr>
            </w:pPr>
            <w:r>
              <w:rPr>
                <w:rFonts w:ascii="MS PGothic" w:cs="MS PGothic" w:eastAsia="MS PGothic" w:hAnsi="MS PGothic"/>
                <w:sz w:val="18"/>
                <w:szCs w:val="18"/>
                <w:color w:val="auto"/>
              </w:rPr>
              <w:t>☒</w:t>
            </w:r>
          </w:p>
        </w:tc>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840" w:type="dxa"/>
            <w:vAlign w:val="bottom"/>
          </w:tcPr>
          <w:p>
            <w:pPr>
              <w:ind w:left="16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65"/>
        </w:trPr>
        <w:tc>
          <w:tcPr>
            <w:tcW w:w="34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Emerging growth company</w:t>
            </w:r>
          </w:p>
        </w:tc>
        <w:tc>
          <w:tcPr>
            <w:tcW w:w="1840" w:type="dxa"/>
            <w:vAlign w:val="bottom"/>
          </w:tcPr>
          <w:p>
            <w:pPr>
              <w:ind w:left="16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4"/>
          <w:szCs w:val="24"/>
          <w:color w:val="auto"/>
        </w:rPr>
      </w:pPr>
    </w:p>
    <w:p>
      <w:pPr>
        <w:jc w:val="both"/>
        <w:ind w:right="18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7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registrant had 11,585,625 shares of common stock outstanding as of February 10,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225" w:right="319" w:bottom="488"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307975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056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1"/>
        </w:trPr>
        <w:tc>
          <w:tcPr>
            <w:tcW w:w="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300" w:type="dxa"/>
            <w:vAlign w:val="bottom"/>
            <w:gridSpan w:val="8"/>
          </w:tcPr>
          <w:p>
            <w:pPr>
              <w:jc w:val="center"/>
              <w:ind w:right="35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20" w:type="dxa"/>
            <w:vAlign w:val="bottom"/>
          </w:tcPr>
          <w:p>
            <w:pPr>
              <w:spacing w:after="0"/>
              <w:rPr>
                <w:sz w:val="24"/>
                <w:szCs w:val="24"/>
                <w:color w:val="auto"/>
              </w:rPr>
            </w:pPr>
          </w:p>
        </w:tc>
        <w:tc>
          <w:tcPr>
            <w:tcW w:w="10540" w:type="dxa"/>
            <w:vAlign w:val="bottom"/>
            <w:gridSpan w:val="22"/>
            <w:vMerge w:val="restart"/>
          </w:tcPr>
          <w:p>
            <w:pPr>
              <w:spacing w:after="0"/>
              <w:rPr>
                <w:sz w:val="20"/>
                <w:szCs w:val="20"/>
                <w:color w:val="auto"/>
              </w:rPr>
            </w:pPr>
            <w:r>
              <w:rPr>
                <w:rFonts w:ascii="Times New Roman" w:cs="Times New Roman" w:eastAsia="Times New Roman" w:hAnsi="Times New Roman"/>
                <w:sz w:val="18"/>
                <w:szCs w:val="18"/>
                <w:color w:val="0000FF"/>
              </w:rPr>
              <w:t>PART I - FINANCIAL INFORMATION</w:t>
            </w:r>
          </w:p>
        </w:tc>
        <w:tc>
          <w:tcPr>
            <w:tcW w:w="6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w w:val="97"/>
              </w:rPr>
              <w:t>Page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540" w:type="dxa"/>
            <w:vAlign w:val="bottom"/>
            <w:gridSpan w:val="22"/>
            <w:vMerge w:val="continue"/>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2620" w:type="dxa"/>
            <w:vAlign w:val="bottom"/>
            <w:tcBorders>
              <w:top w:val="single" w:sz="8" w:color="0000FF"/>
            </w:tcBorders>
            <w:gridSpan w:val="11"/>
          </w:tcPr>
          <w:p>
            <w:pPr>
              <w:ind w:left="20"/>
              <w:spacing w:after="0"/>
              <w:rPr>
                <w:sz w:val="20"/>
                <w:szCs w:val="20"/>
                <w:color w:val="auto"/>
              </w:rPr>
            </w:pPr>
            <w:r>
              <w:rPr>
                <w:rFonts w:ascii="Times New Roman" w:cs="Times New Roman" w:eastAsia="Times New Roman" w:hAnsi="Times New Roman"/>
                <w:sz w:val="18"/>
                <w:szCs w:val="18"/>
                <w:color w:val="0000FF"/>
              </w:rPr>
              <w:t>Item 1. Financial Statements</w:t>
            </w:r>
          </w:p>
        </w:tc>
        <w:tc>
          <w:tcPr>
            <w:tcW w:w="7600" w:type="dxa"/>
            <w:vAlign w:val="bottom"/>
            <w:gridSpan w:val="10"/>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Balance Sheets (unaudited)</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10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and Comprehensive Income (Loss) (unaudited)</w:t>
            </w:r>
          </w:p>
        </w:tc>
        <w:tc>
          <w:tcPr>
            <w:tcW w:w="3000" w:type="dxa"/>
            <w:vAlign w:val="bottom"/>
            <w:gridSpan w:val="2"/>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(unaudited)</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Deficit (unaudited)</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40" w:type="dxa"/>
            <w:vAlign w:val="bottom"/>
            <w:tcBorders>
              <w:top w:val="single" w:sz="8" w:color="0000FF"/>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Notes to the Condensed Consolidated Financial Statements (unaudited)</w:t>
            </w:r>
          </w:p>
        </w:tc>
        <w:tc>
          <w:tcPr>
            <w:tcW w:w="140" w:type="dxa"/>
            <w:vAlign w:val="bottom"/>
            <w:tcBorders>
              <w:top w:val="single" w:sz="8" w:color="0000FF"/>
            </w:tcBorders>
          </w:tcPr>
          <w:p>
            <w:pPr>
              <w:spacing w:after="0"/>
              <w:rPr>
                <w:sz w:val="18"/>
                <w:szCs w:val="18"/>
                <w:color w:val="auto"/>
              </w:rPr>
            </w:pPr>
          </w:p>
        </w:tc>
        <w:tc>
          <w:tcPr>
            <w:tcW w:w="4820" w:type="dxa"/>
            <w:vAlign w:val="bottom"/>
            <w:gridSpan w:val="4"/>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20" w:type="dxa"/>
            <w:vAlign w:val="bottom"/>
            <w:gridSpan w:val="21"/>
          </w:tcPr>
          <w:p>
            <w:pPr>
              <w:ind w:left="20"/>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0" w:type="dxa"/>
            <w:vAlign w:val="bottom"/>
            <w:tcBorders>
              <w:top w:val="single" w:sz="8" w:color="0000FF"/>
            </w:tcBorders>
            <w:gridSpan w:val="18"/>
          </w:tcPr>
          <w:p>
            <w:pPr>
              <w:ind w:left="20"/>
              <w:spacing w:after="0"/>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3220" w:type="dxa"/>
            <w:vAlign w:val="bottom"/>
            <w:gridSpan w:val="3"/>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40" w:type="dxa"/>
            <w:vAlign w:val="bottom"/>
            <w:tcBorders>
              <w:top w:val="single" w:sz="8" w:color="0000FF"/>
              <w:bottom w:val="single" w:sz="8" w:color="0000FF"/>
            </w:tcBorders>
            <w:gridSpan w:val="10"/>
          </w:tcPr>
          <w:p>
            <w:pPr>
              <w:ind w:left="20"/>
              <w:spacing w:after="0"/>
              <w:rPr>
                <w:sz w:val="20"/>
                <w:szCs w:val="20"/>
                <w:color w:val="auto"/>
              </w:rPr>
            </w:pPr>
            <w:r>
              <w:rPr>
                <w:rFonts w:ascii="Times New Roman" w:cs="Times New Roman" w:eastAsia="Times New Roman" w:hAnsi="Times New Roman"/>
                <w:sz w:val="18"/>
                <w:szCs w:val="18"/>
                <w:color w:val="0000FF"/>
                <w:w w:val="98"/>
              </w:rPr>
              <w:t>Item 4. Controls and Procedures</w:t>
            </w:r>
          </w:p>
        </w:tc>
        <w:tc>
          <w:tcPr>
            <w:tcW w:w="2580" w:type="dxa"/>
            <w:vAlign w:val="bottom"/>
            <w:tcBorders>
              <w:top w:val="single" w:sz="8" w:color="0000FF"/>
            </w:tcBorders>
            <w:gridSpan w:val="5"/>
          </w:tcPr>
          <w:p>
            <w:pPr>
              <w:spacing w:after="0"/>
              <w:rPr>
                <w:sz w:val="18"/>
                <w:szCs w:val="18"/>
                <w:color w:val="auto"/>
              </w:rPr>
            </w:pPr>
          </w:p>
        </w:tc>
        <w:tc>
          <w:tcPr>
            <w:tcW w:w="5300" w:type="dxa"/>
            <w:vAlign w:val="bottom"/>
            <w:gridSpan w:val="6"/>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0" w:type="dxa"/>
            <w:vAlign w:val="bottom"/>
          </w:tcPr>
          <w:p>
            <w:pPr>
              <w:spacing w:after="0"/>
              <w:rPr>
                <w:sz w:val="1"/>
                <w:szCs w:val="1"/>
                <w:color w:val="auto"/>
              </w:rPr>
            </w:pPr>
          </w:p>
        </w:tc>
      </w:tr>
      <w:tr>
        <w:trPr>
          <w:trHeight w:val="479"/>
        </w:trPr>
        <w:tc>
          <w:tcPr>
            <w:tcW w:w="20" w:type="dxa"/>
            <w:vAlign w:val="bottom"/>
          </w:tcPr>
          <w:p>
            <w:pPr>
              <w:spacing w:after="0"/>
              <w:rPr>
                <w:sz w:val="24"/>
                <w:szCs w:val="24"/>
                <w:color w:val="auto"/>
              </w:rPr>
            </w:pPr>
          </w:p>
        </w:tc>
        <w:tc>
          <w:tcPr>
            <w:tcW w:w="26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7"/>
              </w:rPr>
              <w:t>PART II - OTHER INFORMATION</w:t>
            </w:r>
          </w:p>
        </w:tc>
        <w:tc>
          <w:tcPr>
            <w:tcW w:w="7900" w:type="dxa"/>
            <w:vAlign w:val="bottom"/>
            <w:gridSpan w:val="12"/>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00" w:type="dxa"/>
            <w:vAlign w:val="bottom"/>
            <w:tcBorders>
              <w:bottom w:val="single" w:sz="8" w:color="0000FF"/>
            </w:tcBorders>
            <w:gridSpan w:val="7"/>
          </w:tcPr>
          <w:p>
            <w:pPr>
              <w:ind w:left="20"/>
              <w:spacing w:after="0"/>
              <w:rPr>
                <w:sz w:val="20"/>
                <w:szCs w:val="20"/>
                <w:color w:val="auto"/>
              </w:rPr>
            </w:pPr>
            <w:r>
              <w:rPr>
                <w:rFonts w:ascii="Times New Roman" w:cs="Times New Roman" w:eastAsia="Times New Roman" w:hAnsi="Times New Roman"/>
                <w:sz w:val="18"/>
                <w:szCs w:val="18"/>
                <w:color w:val="0000FF"/>
                <w:w w:val="98"/>
              </w:rPr>
              <w:t>Item 1. Legal Proceedings</w:t>
            </w:r>
          </w:p>
        </w:tc>
        <w:tc>
          <w:tcPr>
            <w:tcW w:w="8320" w:type="dxa"/>
            <w:vAlign w:val="bottom"/>
            <w:gridSpan w:val="14"/>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Borders>
              <w:bottom w:val="single" w:sz="8" w:color="0000FF"/>
            </w:tcBorders>
            <w:gridSpan w:val="5"/>
          </w:tcPr>
          <w:p>
            <w:pPr>
              <w:ind w:left="20"/>
              <w:spacing w:after="0"/>
              <w:rPr>
                <w:sz w:val="20"/>
                <w:szCs w:val="20"/>
                <w:color w:val="auto"/>
              </w:rPr>
            </w:pPr>
            <w:r>
              <w:rPr>
                <w:rFonts w:ascii="Times New Roman" w:cs="Times New Roman" w:eastAsia="Times New Roman" w:hAnsi="Times New Roman"/>
                <w:sz w:val="18"/>
                <w:szCs w:val="18"/>
                <w:color w:val="0000FF"/>
                <w:w w:val="98"/>
              </w:rPr>
              <w:t>Item 1A. Risk Factors</w:t>
            </w:r>
          </w:p>
        </w:tc>
        <w:tc>
          <w:tcPr>
            <w:tcW w:w="8620" w:type="dxa"/>
            <w:vAlign w:val="bottom"/>
            <w:gridSpan w:val="16"/>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720" w:type="dxa"/>
            <w:vAlign w:val="bottom"/>
            <w:tcBorders>
              <w:bottom w:val="single" w:sz="8" w:color="0000FF"/>
            </w:tcBorders>
            <w:gridSpan w:val="20"/>
          </w:tcPr>
          <w:p>
            <w:pPr>
              <w:ind w:left="20"/>
              <w:spacing w:after="0"/>
              <w:rPr>
                <w:sz w:val="20"/>
                <w:szCs w:val="20"/>
                <w:color w:val="auto"/>
              </w:rPr>
            </w:pPr>
            <w:r>
              <w:rPr>
                <w:rFonts w:ascii="Times New Roman" w:cs="Times New Roman" w:eastAsia="Times New Roman" w:hAnsi="Times New Roman"/>
                <w:sz w:val="18"/>
                <w:szCs w:val="18"/>
                <w:color w:val="0000FF"/>
                <w:w w:val="99"/>
              </w:rPr>
              <w:t>Item 2. Unregistered Sales of Equity Securities, Use of Proceeds, and Issuer Purchases of Equity Securities</w:t>
            </w:r>
          </w:p>
        </w:tc>
        <w:tc>
          <w:tcPr>
            <w:tcW w:w="250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20" w:type="dxa"/>
            <w:vAlign w:val="bottom"/>
            <w:gridSpan w:val="21"/>
          </w:tcPr>
          <w:p>
            <w:pPr>
              <w:ind w:left="20"/>
              <w:spacing w:after="0"/>
              <w:rPr>
                <w:sz w:val="20"/>
                <w:szCs w:val="20"/>
                <w:color w:val="auto"/>
              </w:rPr>
            </w:pPr>
            <w:r>
              <w:rPr>
                <w:rFonts w:ascii="Times New Roman" w:cs="Times New Roman" w:eastAsia="Times New Roman" w:hAnsi="Times New Roman"/>
                <w:sz w:val="18"/>
                <w:szCs w:val="18"/>
                <w:color w:val="0000FF"/>
              </w:rPr>
              <w:t>Item 3. Defaults Upon Senior Securities</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40" w:type="dxa"/>
            <w:vAlign w:val="bottom"/>
            <w:tcBorders>
              <w:top w:val="single" w:sz="8" w:color="0000FF"/>
              <w:bottom w:val="single" w:sz="8" w:color="0000FF"/>
            </w:tcBorders>
            <w:gridSpan w:val="10"/>
          </w:tcPr>
          <w:p>
            <w:pPr>
              <w:ind w:left="20"/>
              <w:spacing w:after="0"/>
              <w:rPr>
                <w:sz w:val="20"/>
                <w:szCs w:val="20"/>
                <w:color w:val="auto"/>
              </w:rPr>
            </w:pPr>
            <w:r>
              <w:rPr>
                <w:rFonts w:ascii="Times New Roman" w:cs="Times New Roman" w:eastAsia="Times New Roman" w:hAnsi="Times New Roman"/>
                <w:sz w:val="18"/>
                <w:szCs w:val="18"/>
                <w:color w:val="0000FF"/>
                <w:w w:val="98"/>
              </w:rPr>
              <w:t>Item 4. Mine Safety Disclosures</w:t>
            </w:r>
          </w:p>
        </w:tc>
        <w:tc>
          <w:tcPr>
            <w:tcW w:w="540" w:type="dxa"/>
            <w:vAlign w:val="bottom"/>
            <w:tcBorders>
              <w:top w:val="single" w:sz="8" w:color="0000FF"/>
            </w:tcBorders>
            <w:gridSpan w:val="2"/>
          </w:tcPr>
          <w:p>
            <w:pPr>
              <w:spacing w:after="0"/>
              <w:rPr>
                <w:sz w:val="18"/>
                <w:szCs w:val="18"/>
                <w:color w:val="auto"/>
              </w:rPr>
            </w:pPr>
          </w:p>
        </w:tc>
        <w:tc>
          <w:tcPr>
            <w:tcW w:w="7340" w:type="dxa"/>
            <w:vAlign w:val="bottom"/>
            <w:gridSpan w:val="9"/>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80" w:type="dxa"/>
            <w:vAlign w:val="bottom"/>
            <w:tcBorders>
              <w:bottom w:val="single" w:sz="8" w:color="0000FF"/>
            </w:tcBorders>
            <w:gridSpan w:val="6"/>
          </w:tcPr>
          <w:p>
            <w:pPr>
              <w:ind w:left="20"/>
              <w:spacing w:after="0"/>
              <w:rPr>
                <w:sz w:val="20"/>
                <w:szCs w:val="20"/>
                <w:color w:val="auto"/>
              </w:rPr>
            </w:pPr>
            <w:r>
              <w:rPr>
                <w:rFonts w:ascii="Times New Roman" w:cs="Times New Roman" w:eastAsia="Times New Roman" w:hAnsi="Times New Roman"/>
                <w:sz w:val="18"/>
                <w:szCs w:val="18"/>
                <w:color w:val="0000FF"/>
                <w:w w:val="98"/>
              </w:rPr>
              <w:t>Item 5. Other Information</w:t>
            </w:r>
          </w:p>
        </w:tc>
        <w:tc>
          <w:tcPr>
            <w:tcW w:w="8340" w:type="dxa"/>
            <w:vAlign w:val="bottom"/>
            <w:gridSpan w:val="15"/>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20" w:type="dxa"/>
            <w:vAlign w:val="bottom"/>
            <w:gridSpan w:val="21"/>
          </w:tcPr>
          <w:p>
            <w:pPr>
              <w:ind w:left="20"/>
              <w:spacing w:after="0"/>
              <w:rPr>
                <w:sz w:val="20"/>
                <w:szCs w:val="20"/>
                <w:color w:val="auto"/>
              </w:rPr>
            </w:pPr>
            <w:r>
              <w:rPr>
                <w:rFonts w:ascii="Times New Roman" w:cs="Times New Roman" w:eastAsia="Times New Roman" w:hAnsi="Times New Roman"/>
                <w:sz w:val="18"/>
                <w:szCs w:val="18"/>
                <w:color w:val="0000FF"/>
              </w:rPr>
              <w:t>Item 6. Exhibits</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9060" w:type="dxa"/>
            <w:vAlign w:val="bottom"/>
            <w:gridSpan w:val="17"/>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5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0" w:type="dxa"/>
            <w:vAlign w:val="bottom"/>
          </w:tcPr>
          <w:p>
            <w:pPr>
              <w:spacing w:after="0"/>
              <w:rPr>
                <w:sz w:val="1"/>
                <w:szCs w:val="1"/>
                <w:color w:val="auto"/>
              </w:rPr>
            </w:pPr>
          </w:p>
        </w:tc>
      </w:tr>
      <w:tr>
        <w:trPr>
          <w:trHeight w:val="925"/>
        </w:trPr>
        <w:tc>
          <w:tcPr>
            <w:tcW w:w="20" w:type="dxa"/>
            <w:vAlign w:val="bottom"/>
          </w:tcPr>
          <w:p>
            <w:pPr>
              <w:spacing w:after="0"/>
              <w:rPr>
                <w:sz w:val="24"/>
                <w:szCs w:val="24"/>
                <w:color w:val="auto"/>
              </w:rPr>
            </w:pPr>
          </w:p>
        </w:tc>
        <w:tc>
          <w:tcPr>
            <w:tcW w:w="1100" w:type="dxa"/>
            <w:vAlign w:val="bottom"/>
            <w:tcBorders>
              <w:top w:val="single" w:sz="8" w:color="0000FF"/>
            </w:tcBorders>
            <w:gridSpan w:val="3"/>
          </w:tcPr>
          <w:p>
            <w:pPr>
              <w:spacing w:after="0"/>
              <w:rPr>
                <w:sz w:val="24"/>
                <w:szCs w:val="24"/>
                <w:color w:val="auto"/>
              </w:rPr>
            </w:pPr>
          </w:p>
        </w:tc>
        <w:tc>
          <w:tcPr>
            <w:tcW w:w="4620" w:type="dxa"/>
            <w:vAlign w:val="bottom"/>
            <w:gridSpan w:val="15"/>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5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27A of the Securities Act of 1933, as amended (the “Securities Act”), Section 21E of the Securities Exchange Act of 1934, as amended (the “Exchange Act”), and the Private Securities Litigation Reform Act of 1995. Forward-looking statements generally relate to future events or our expected future financial or operating performance. In some cases, you can identify forward-looking statements because they contain words such as “may,” “will,”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involve risks and uncertainties that could cause actual results to differ materially from historical experience or our present expectations.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Forward-looking statements contained in this Quarterly Report on Form 10-Q include, but are not limited to, statements about:</w:t>
      </w:r>
    </w:p>
    <w:p>
      <w:pPr>
        <w:spacing w:after="0" w:line="252" w:lineRule="exact"/>
        <w:rPr>
          <w:sz w:val="20"/>
          <w:szCs w:val="20"/>
          <w:color w:val="auto"/>
        </w:rPr>
      </w:pPr>
    </w:p>
    <w:p>
      <w:pPr>
        <w:ind w:left="580" w:hanging="248"/>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focus on achieving positive free cash flow (“FCF”);</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1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operating and growth forecasts and projections, including our focus on cost reductions, our anticipated reductions in cash burn, and the estimated annualized cost savings from reductions in force and our portfolio optimization program;</w:t>
      </w:r>
    </w:p>
    <w:p>
      <w:pPr>
        <w:ind w:left="580" w:hanging="248"/>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for our business, revenue, expenses, results of operations, financial condition, and cash flows;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license agreement (the “Marriott Agreement”) with Marriott International, Inc. and Global Hospitality Licensing S.À R.L (together, “Marriott”), including the timing of the integration of our properties, the anticipated benefits of the agreement, and other plans and expectations related to the Marriott relationship;</w:t>
      </w:r>
    </w:p>
    <w:p>
      <w:pPr>
        <w:spacing w:after="0" w:line="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management’s conclusion regarding its substantial doubt about the Company’s ability to continue as a going concern, and the related mitigation plans, including any impact on our key stakeholder relationships;</w:t>
      </w: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portfolio optimization program, including lease renegotiation efforts, potential lease amendments, and the scope and timing of property exits, and their potential effects on our portfolio, results of operations, and cash flow, including any anticipated cost savings;</w:t>
      </w:r>
    </w:p>
    <w:p>
      <w:pPr>
        <w:ind w:left="580" w:hanging="248"/>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or maintain profitability in the future;</w:t>
      </w:r>
    </w:p>
    <w:p>
      <w:pPr>
        <w:spacing w:after="0" w:line="9"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trends in the travel and hospitality industries;</w:t>
      </w:r>
    </w:p>
    <w:p>
      <w:pPr>
        <w:spacing w:after="0" w:line="9"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pricing and revenue management strategies, pricing and occupancy forecasts and anticipated trends, and expectations about demand elasticity;</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58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concerning future transaction structures and the anticipated rent, rent abatement, capital expenditure provisions, and other terms of our future leases;</w:t>
      </w:r>
    </w:p>
    <w:p>
      <w:pPr>
        <w:ind w:left="580" w:hanging="248"/>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ancillary revenue opportunities and our ability to improve our revenue management capabilities;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capital expenditure obligations, including expectations for real estate owners’ funding of capital expenditures and other pre-opening costs at our leased properties;</w:t>
      </w:r>
    </w:p>
    <w:p>
      <w:pPr>
        <w:ind w:left="660" w:hanging="328"/>
        <w:spacing w:after="0" w:line="250" w:lineRule="auto"/>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about the adequacy of our capital resources, the availability of future financing or other capital resources, and the anticipated use of proceeds from any financings;</w:t>
      </w:r>
    </w:p>
    <w:p>
      <w:pPr>
        <w:ind w:left="580" w:hanging="248"/>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trends in corporate travel and the potential for additional group and corporate travel revenue;</w:t>
      </w:r>
    </w:p>
    <w:p>
      <w:pPr>
        <w:spacing w:after="0" w:line="9"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occupancy rates and expectations about guests’ average length of stay;</w:t>
      </w:r>
    </w:p>
    <w:p>
      <w:pPr>
        <w:spacing w:after="0" w:line="9"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anticipate and satisfy guest demands, including through the introduction of new features, amenities, or services;</w:t>
      </w:r>
    </w:p>
    <w:p>
      <w:pPr>
        <w:spacing w:after="0" w:line="9"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about our geographic market mix and product mix between hotels and apartments, and their impact on our financial results;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about employee relations and our ability to attract and retain qualified personnel;</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58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roll out additional features, amenities and technologies, and our beliefs about the positive impact of our technology investments on our brand and financial results;</w:t>
      </w:r>
    </w:p>
    <w:p>
      <w:pPr>
        <w:ind w:left="580" w:hanging="248"/>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advantage and anticipated differentiation in cost structure and guest experience compared to other accommodation providers;</w:t>
      </w:r>
    </w:p>
    <w:p>
      <w:pPr>
        <w:spacing w:after="0" w:line="9"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for increased cost efficiencies and technological improvements;</w:t>
      </w:r>
    </w:p>
    <w:p>
      <w:pPr>
        <w:spacing w:after="0" w:line="9"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and plans for expanding in existing and new markets and accommodation categories;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1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growth in our portfolio of units that are available for guests to book (“Live Units”) and units for which we have signed real estate contracts but which are not yet available for guests to book (“Contracted Units”), including the anticipated scope and timing of any removals of units from our portfolio;</w:t>
      </w:r>
    </w:p>
    <w:p>
      <w:pPr>
        <w:spacing w:after="0" w:line="1" w:lineRule="exact"/>
        <w:rPr>
          <w:rFonts w:ascii="Times New Roman" w:cs="Times New Roman" w:eastAsia="Times New Roman" w:hAnsi="Times New Roman"/>
          <w:sz w:val="18"/>
          <w:szCs w:val="18"/>
          <w:color w:val="auto"/>
        </w:rPr>
      </w:pPr>
    </w:p>
    <w:p>
      <w:pPr>
        <w:ind w:left="660" w:hanging="328"/>
        <w:spacing w:after="0" w:line="260" w:lineRule="auto"/>
        <w:tabs>
          <w:tab w:leader="none" w:pos="61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about our relationships with third-party distribution channels and indirect channels, and the percentage of future revenue attributable to bookings through indirect channels;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60" w:hanging="328"/>
        <w:spacing w:after="0" w:line="261" w:lineRule="auto"/>
        <w:tabs>
          <w:tab w:leader="none" w:pos="61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seasonality and other variations in our results of operations from period-to-period, including statements about anticipated Revenue per Available Room (“RevPAR”) in specified quarters;</w:t>
      </w:r>
    </w:p>
    <w:p>
      <w:pPr>
        <w:ind w:left="580" w:hanging="248"/>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effects of public health crises;</w:t>
      </w:r>
    </w:p>
    <w:p>
      <w:pPr>
        <w:spacing w:after="0" w:line="9"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meeting the listing standards of Nasdaq;</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59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assessments and beliefs regarding the timing and outcome of pending legal proceedings and any liability that we may incur as a result of those proceedings;</w:t>
      </w:r>
    </w:p>
    <w:p>
      <w:pPr>
        <w:ind w:left="580" w:hanging="248"/>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assessments and estimates that determine our effective tax rate and regarding any tax-related audits or other tax proceedings; and</w:t>
      </w:r>
    </w:p>
    <w:p>
      <w:pPr>
        <w:spacing w:after="0" w:line="9"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expectations, beliefs, plans, strategies, anticipated developments, and other matters that are not historical facts.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caution you that the foregoing list may not contain all of the forward-looking statements made in this Quarterly Report on Form 10-Q.</w:t>
      </w:r>
    </w:p>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You should not place undue reliance on our forward-looking statements because the matters they describe are subject to known and unknown risks, uncertainties, and other factors, many of which are beyond our control. Neither we nor any other person assumes responsibility for the accuracy and completeness of any of these forward-looking statements. Moreover, 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You should note that we may announce material information to our investors using our investor relations website (https://investors.sonder.com/), filings with the Securities and Exchange Commission (the “SEC”), press releases, public conference calls and webcasts. We use these channels, as well as social media, to communicate with our investors. It is possible that the information that we post on these channels could be deemed to be material information. We therefore encourage investors to visit these websites from time to time. The information contained on such websites and social media posts is not incorporated by reference into this filing. Further, our references to website URLs in this filing are intended to be inactive textual references only.</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a discussion of our risk factors, see the section entitled “Risk Factors” in our Annual Report on Form 10-K for the fiscal year ended December 31, 2023 (the “Annual Report”) and our subsequent filings with the SEC. Additional factors that could cause results or performance to materially differ from those expressed in our forward-looking statements are detailed in other filings we may make with the SEC, copies of which are available from us at no charge. Please consider our forward-looking statements in light of those risks as you read this report. New risks and uncertainties emerge from time to time, and it is not possible for us to predict all risks and uncertainties that could have an impact on the forward-looking statements contained in this Quarterly Report on Form 10-Q.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SONDER HOLDINGS INC. AND SUBSIDIARIES</w:t>
      </w:r>
    </w:p>
    <w:p>
      <w:pPr>
        <w:spacing w:after="0" w:line="31"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September 30, 2024</w:t>
            </w:r>
          </w:p>
        </w:tc>
        <w:tc>
          <w:tcPr>
            <w:tcW w:w="200" w:type="dxa"/>
            <w:vAlign w:val="bottom"/>
          </w:tcPr>
          <w:p>
            <w:pPr>
              <w:spacing w:after="0"/>
              <w:rPr>
                <w:sz w:val="20"/>
                <w:szCs w:val="20"/>
                <w:color w:val="auto"/>
              </w:rPr>
            </w:pPr>
          </w:p>
        </w:tc>
        <w:tc>
          <w:tcPr>
            <w:tcW w:w="17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09"/>
        </w:trPr>
        <w:tc>
          <w:tcPr>
            <w:tcW w:w="7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r>
      <w:tr>
        <w:trPr>
          <w:trHeight w:val="229"/>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30"/>
        </w:trPr>
        <w:tc>
          <w:tcPr>
            <w:tcW w:w="71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95,763</w:t>
            </w:r>
          </w:p>
        </w:tc>
      </w:tr>
      <w:tr>
        <w:trPr>
          <w:trHeight w:val="229"/>
        </w:trPr>
        <w:tc>
          <w:tcPr>
            <w:tcW w:w="7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48,942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40,734</w:t>
            </w:r>
          </w:p>
        </w:tc>
      </w:tr>
      <w:tr>
        <w:trPr>
          <w:trHeight w:val="176"/>
        </w:trPr>
        <w:tc>
          <w:tcPr>
            <w:tcW w:w="71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Accounts receivable, net of allowance of $6,688 and $6,196 at September 30, 2024 and</w:t>
            </w:r>
          </w:p>
        </w:tc>
        <w:tc>
          <w:tcPr>
            <w:tcW w:w="20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r>
      <w:tr>
        <w:trPr>
          <w:trHeight w:val="243"/>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2023, respectively</w:t>
            </w:r>
          </w:p>
        </w:tc>
        <w:tc>
          <w:tcPr>
            <w:tcW w:w="20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7,999</w:t>
            </w:r>
          </w:p>
        </w:tc>
      </w:tr>
      <w:tr>
        <w:trPr>
          <w:trHeight w:val="230"/>
        </w:trPr>
        <w:tc>
          <w:tcPr>
            <w:tcW w:w="7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Prepaid expenses</w:t>
            </w: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5,366</w:t>
            </w:r>
          </w:p>
        </w:tc>
      </w:tr>
      <w:tr>
        <w:trPr>
          <w:trHeight w:val="229"/>
        </w:trPr>
        <w:tc>
          <w:tcPr>
            <w:tcW w:w="71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11,345</w:t>
            </w:r>
          </w:p>
        </w:tc>
      </w:tr>
      <w:tr>
        <w:trPr>
          <w:trHeight w:val="223"/>
        </w:trPr>
        <w:tc>
          <w:tcPr>
            <w:tcW w:w="71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161,207</w:t>
            </w:r>
          </w:p>
        </w:tc>
      </w:tr>
      <w:tr>
        <w:trPr>
          <w:trHeight w:val="229"/>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22,775</w:t>
            </w:r>
          </w:p>
        </w:tc>
      </w:tr>
      <w:tr>
        <w:trPr>
          <w:trHeight w:val="229"/>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(“ROU”) assets</w:t>
            </w: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1,086,820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1,322,135</w:t>
            </w:r>
          </w:p>
        </w:tc>
      </w:tr>
      <w:tr>
        <w:trPr>
          <w:trHeight w:val="23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00" w:type="dxa"/>
            <w:vAlign w:val="bottom"/>
            <w:tcBorders>
              <w:bottom w:val="single" w:sz="8" w:color="6D6D6D"/>
            </w:tcBorders>
            <w:shd w:val="clear" w:color="auto" w:fill="CCEEFF"/>
          </w:tcPr>
          <w:p>
            <w:pPr>
              <w:spacing w:after="0"/>
              <w:rPr>
                <w:sz w:val="19"/>
                <w:szCs w:val="19"/>
                <w:color w:val="auto"/>
              </w:rPr>
            </w:pPr>
          </w:p>
        </w:tc>
        <w:tc>
          <w:tcPr>
            <w:tcW w:w="1800" w:type="dxa"/>
            <w:vAlign w:val="bottom"/>
            <w:tcBorders>
              <w:bottom w:val="single" w:sz="8" w:color="6D6D6D"/>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6D6D6D"/>
            </w:tcBorders>
            <w:shd w:val="clear" w:color="auto" w:fill="CCEEFF"/>
          </w:tcPr>
          <w:p>
            <w:pPr>
              <w:spacing w:after="0"/>
              <w:rPr>
                <w:sz w:val="19"/>
                <w:szCs w:val="19"/>
                <w:color w:val="auto"/>
              </w:rPr>
            </w:pPr>
          </w:p>
        </w:tc>
        <w:tc>
          <w:tcPr>
            <w:tcW w:w="1780" w:type="dxa"/>
            <w:vAlign w:val="bottom"/>
            <w:tcBorders>
              <w:bottom w:val="single" w:sz="8" w:color="6D6D6D"/>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15,150</w:t>
            </w:r>
          </w:p>
        </w:tc>
      </w:tr>
      <w:tr>
        <w:trPr>
          <w:trHeight w:val="223"/>
        </w:trPr>
        <w:tc>
          <w:tcPr>
            <w:tcW w:w="71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6D6D6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6D6D6D"/>
            </w:tcBorders>
          </w:tcPr>
          <w:p>
            <w:pPr>
              <w:jc w:val="right"/>
              <w:spacing w:after="0"/>
              <w:rPr>
                <w:sz w:val="20"/>
                <w:szCs w:val="20"/>
                <w:color w:val="auto"/>
              </w:rPr>
            </w:pPr>
            <w:r>
              <w:rPr>
                <w:rFonts w:ascii="Times New Roman" w:cs="Times New Roman" w:eastAsia="Times New Roman" w:hAnsi="Times New Roman"/>
                <w:sz w:val="18"/>
                <w:szCs w:val="18"/>
                <w:color w:val="auto"/>
              </w:rPr>
              <w:t>1,218,036</w:t>
            </w:r>
          </w:p>
        </w:tc>
        <w:tc>
          <w:tcPr>
            <w:tcW w:w="100" w:type="dxa"/>
            <w:vAlign w:val="bottom"/>
          </w:tcPr>
          <w:p>
            <w:pPr>
              <w:spacing w:after="0"/>
              <w:rPr>
                <w:sz w:val="19"/>
                <w:szCs w:val="19"/>
                <w:color w:val="auto"/>
              </w:rPr>
            </w:pPr>
          </w:p>
        </w:tc>
        <w:tc>
          <w:tcPr>
            <w:tcW w:w="200" w:type="dxa"/>
            <w:vAlign w:val="bottom"/>
            <w:tcBorders>
              <w:bottom w:val="single" w:sz="8" w:color="6D6D6D"/>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6D6D6D"/>
            </w:tcBorders>
          </w:tcPr>
          <w:p>
            <w:pPr>
              <w:jc w:val="right"/>
              <w:spacing w:after="0"/>
              <w:rPr>
                <w:sz w:val="20"/>
                <w:szCs w:val="20"/>
                <w:color w:val="auto"/>
              </w:rPr>
            </w:pPr>
            <w:r>
              <w:rPr>
                <w:rFonts w:ascii="Times New Roman" w:cs="Times New Roman" w:eastAsia="Times New Roman" w:hAnsi="Times New Roman"/>
                <w:sz w:val="18"/>
                <w:szCs w:val="18"/>
                <w:color w:val="auto"/>
              </w:rPr>
              <w:t>1,521,267</w:t>
            </w:r>
          </w:p>
        </w:tc>
      </w:tr>
      <w:tr>
        <w:trPr>
          <w:trHeight w:val="20"/>
        </w:trPr>
        <w:tc>
          <w:tcPr>
            <w:tcW w:w="7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6D6D6D"/>
            </w:tcBorders>
          </w:tcPr>
          <w:p>
            <w:pPr>
              <w:spacing w:after="0" w:line="20" w:lineRule="exact"/>
              <w:rPr>
                <w:sz w:val="1"/>
                <w:szCs w:val="1"/>
                <w:color w:val="auto"/>
              </w:rPr>
            </w:pPr>
          </w:p>
        </w:tc>
        <w:tc>
          <w:tcPr>
            <w:tcW w:w="1800" w:type="dxa"/>
            <w:vAlign w:val="bottom"/>
            <w:tcBorders>
              <w:bottom w:val="single" w:sz="8" w:color="6D6D6D"/>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6D6D6D"/>
            </w:tcBorders>
          </w:tcPr>
          <w:p>
            <w:pPr>
              <w:spacing w:after="0" w:line="20" w:lineRule="exact"/>
              <w:rPr>
                <w:sz w:val="1"/>
                <w:szCs w:val="1"/>
                <w:color w:val="auto"/>
              </w:rPr>
            </w:pPr>
          </w:p>
        </w:tc>
        <w:tc>
          <w:tcPr>
            <w:tcW w:w="1780" w:type="dxa"/>
            <w:vAlign w:val="bottom"/>
            <w:tcBorders>
              <w:bottom w:val="single" w:sz="8" w:color="6D6D6D"/>
            </w:tcBorders>
          </w:tcPr>
          <w:p>
            <w:pPr>
              <w:spacing w:after="0" w:line="20" w:lineRule="exact"/>
              <w:rPr>
                <w:sz w:val="1"/>
                <w:szCs w:val="1"/>
                <w:color w:val="auto"/>
              </w:rPr>
            </w:pPr>
          </w:p>
        </w:tc>
      </w:tr>
      <w:tr>
        <w:trPr>
          <w:trHeight w:val="237"/>
        </w:trPr>
        <w:tc>
          <w:tcPr>
            <w:tcW w:w="7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r>
      <w:tr>
        <w:trPr>
          <w:trHeight w:val="229"/>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mezzanine equity and stockholders’ deficit</w:t>
            </w:r>
          </w:p>
        </w:tc>
        <w:tc>
          <w:tcPr>
            <w:tcW w:w="2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29"/>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30"/>
        </w:trPr>
        <w:tc>
          <w:tcPr>
            <w:tcW w:w="7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33,508</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23,560</w:t>
            </w:r>
          </w:p>
        </w:tc>
      </w:tr>
      <w:tr>
        <w:trPr>
          <w:trHeight w:val="229"/>
        </w:trPr>
        <w:tc>
          <w:tcPr>
            <w:tcW w:w="71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Accrued liabilities</w:t>
            </w: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39,097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38,499</w:t>
            </w:r>
          </w:p>
        </w:tc>
      </w:tr>
      <w:tr>
        <w:trPr>
          <w:trHeight w:val="230"/>
        </w:trPr>
        <w:tc>
          <w:tcPr>
            <w:tcW w:w="7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Taxes payable</w:t>
            </w: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28,279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14,005</w:t>
            </w:r>
          </w:p>
        </w:tc>
      </w:tr>
      <w:tr>
        <w:trPr>
          <w:trHeight w:val="230"/>
        </w:trPr>
        <w:tc>
          <w:tcPr>
            <w:tcW w:w="71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61,971</w:t>
            </w:r>
          </w:p>
        </w:tc>
      </w:tr>
      <w:tr>
        <w:trPr>
          <w:trHeight w:val="230"/>
        </w:trPr>
        <w:tc>
          <w:tcPr>
            <w:tcW w:w="7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126,589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29"/>
        </w:trPr>
        <w:tc>
          <w:tcPr>
            <w:tcW w:w="71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168,710</w:t>
            </w:r>
          </w:p>
        </w:tc>
      </w:tr>
      <w:tr>
        <w:trPr>
          <w:trHeight w:val="230"/>
        </w:trPr>
        <w:tc>
          <w:tcPr>
            <w:tcW w:w="71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169,974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199,364</w:t>
            </w:r>
          </w:p>
        </w:tc>
      </w:tr>
      <w:tr>
        <w:trPr>
          <w:trHeight w:val="223"/>
        </w:trPr>
        <w:tc>
          <w:tcPr>
            <w:tcW w:w="71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473,281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506,236</w:t>
            </w:r>
          </w:p>
        </w:tc>
      </w:tr>
      <w:tr>
        <w:trPr>
          <w:trHeight w:val="223"/>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1,070,996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1,389,580</w:t>
            </w:r>
          </w:p>
        </w:tc>
      </w:tr>
      <w:tr>
        <w:trPr>
          <w:trHeight w:val="229"/>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30"/>
        </w:trPr>
        <w:tc>
          <w:tcPr>
            <w:tcW w:w="7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w:t>
            </w:r>
          </w:p>
        </w:tc>
      </w:tr>
      <w:tr>
        <w:trPr>
          <w:trHeight w:val="223"/>
        </w:trPr>
        <w:tc>
          <w:tcPr>
            <w:tcW w:w="71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1,754,978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1,897,968</w:t>
            </w:r>
          </w:p>
        </w:tc>
      </w:tr>
      <w:tr>
        <w:trPr>
          <w:trHeight w:val="196"/>
        </w:trPr>
        <w:tc>
          <w:tcPr>
            <w:tcW w:w="7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29"/>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16"/>
        </w:trPr>
        <w:tc>
          <w:tcPr>
            <w:tcW w:w="7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29"/>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Mezzanine equity:</w:t>
            </w: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176"/>
        </w:trPr>
        <w:tc>
          <w:tcPr>
            <w:tcW w:w="71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Series A redeemable convertible preferred stock: $0.0001 par value; 250,000,000 shares</w:t>
            </w:r>
          </w:p>
        </w:tc>
        <w:tc>
          <w:tcPr>
            <w:tcW w:w="2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243"/>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authorized, 14,692,000 shares issued and outstanding</w:t>
            </w:r>
          </w:p>
        </w:tc>
        <w:tc>
          <w:tcPr>
            <w:tcW w:w="20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r>
      <w:tr>
        <w:trPr>
          <w:trHeight w:val="23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deficit:</w:t>
            </w:r>
          </w:p>
        </w:tc>
        <w:tc>
          <w:tcPr>
            <w:tcW w:w="2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30"/>
        </w:trPr>
        <w:tc>
          <w:tcPr>
            <w:tcW w:w="71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Common stock</w:t>
            </w: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71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959,501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977,503</w:t>
            </w:r>
          </w:p>
        </w:tc>
      </w:tr>
      <w:tr>
        <w:trPr>
          <w:trHeight w:val="230"/>
        </w:trPr>
        <w:tc>
          <w:tcPr>
            <w:tcW w:w="71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4,976</w:t>
            </w:r>
          </w:p>
        </w:tc>
      </w:tr>
      <w:tr>
        <w:trPr>
          <w:trHeight w:val="230"/>
        </w:trPr>
        <w:tc>
          <w:tcPr>
            <w:tcW w:w="71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(1,556,312)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(1,359,181)</w:t>
            </w:r>
          </w:p>
        </w:tc>
      </w:tr>
      <w:tr>
        <w:trPr>
          <w:trHeight w:val="223"/>
        </w:trPr>
        <w:tc>
          <w:tcPr>
            <w:tcW w:w="71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200" w:type="dxa"/>
            <w:vAlign w:val="bottom"/>
            <w:tcBorders>
              <w:bottom w:val="single" w:sz="8" w:color="6D6D6D"/>
            </w:tcBorders>
            <w:shd w:val="clear" w:color="auto" w:fill="CCEEFF"/>
          </w:tcPr>
          <w:p>
            <w:pPr>
              <w:spacing w:after="0"/>
              <w:rPr>
                <w:sz w:val="19"/>
                <w:szCs w:val="19"/>
                <w:color w:val="auto"/>
              </w:rPr>
            </w:pPr>
          </w:p>
        </w:tc>
        <w:tc>
          <w:tcPr>
            <w:tcW w:w="1800" w:type="dxa"/>
            <w:vAlign w:val="bottom"/>
            <w:tcBorders>
              <w:bottom w:val="single" w:sz="8" w:color="6D6D6D"/>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(596,467)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6D6D6D"/>
            </w:tcBorders>
            <w:shd w:val="clear" w:color="auto" w:fill="CCEEFF"/>
          </w:tcPr>
          <w:p>
            <w:pPr>
              <w:spacing w:after="0"/>
              <w:rPr>
                <w:sz w:val="19"/>
                <w:szCs w:val="19"/>
                <w:color w:val="auto"/>
              </w:rPr>
            </w:pPr>
          </w:p>
        </w:tc>
        <w:tc>
          <w:tcPr>
            <w:tcW w:w="1780" w:type="dxa"/>
            <w:vAlign w:val="bottom"/>
            <w:tcBorders>
              <w:bottom w:val="single" w:sz="8" w:color="6D6D6D"/>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(376,701)</w:t>
            </w:r>
          </w:p>
        </w:tc>
      </w:tr>
      <w:tr>
        <w:trPr>
          <w:trHeight w:val="223"/>
        </w:trPr>
        <w:tc>
          <w:tcPr>
            <w:tcW w:w="71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200" w:type="dxa"/>
            <w:vAlign w:val="bottom"/>
            <w:tcBorders>
              <w:bottom w:val="single" w:sz="8" w:color="6D6D6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6D6D6D"/>
            </w:tcBorders>
          </w:tcPr>
          <w:p>
            <w:pPr>
              <w:jc w:val="right"/>
              <w:spacing w:after="0"/>
              <w:rPr>
                <w:sz w:val="20"/>
                <w:szCs w:val="20"/>
                <w:color w:val="auto"/>
              </w:rPr>
            </w:pPr>
            <w:r>
              <w:rPr>
                <w:rFonts w:ascii="Times New Roman" w:cs="Times New Roman" w:eastAsia="Times New Roman" w:hAnsi="Times New Roman"/>
                <w:sz w:val="18"/>
                <w:szCs w:val="18"/>
                <w:color w:val="auto"/>
              </w:rPr>
              <w:t>1,218,036</w:t>
            </w:r>
          </w:p>
        </w:tc>
        <w:tc>
          <w:tcPr>
            <w:tcW w:w="100" w:type="dxa"/>
            <w:vAlign w:val="bottom"/>
          </w:tcPr>
          <w:p>
            <w:pPr>
              <w:spacing w:after="0"/>
              <w:rPr>
                <w:sz w:val="19"/>
                <w:szCs w:val="19"/>
                <w:color w:val="auto"/>
              </w:rPr>
            </w:pPr>
          </w:p>
        </w:tc>
        <w:tc>
          <w:tcPr>
            <w:tcW w:w="200" w:type="dxa"/>
            <w:vAlign w:val="bottom"/>
            <w:tcBorders>
              <w:bottom w:val="single" w:sz="8" w:color="6D6D6D"/>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6D6D6D"/>
            </w:tcBorders>
          </w:tcPr>
          <w:p>
            <w:pPr>
              <w:jc w:val="right"/>
              <w:spacing w:after="0"/>
              <w:rPr>
                <w:sz w:val="20"/>
                <w:szCs w:val="20"/>
                <w:color w:val="auto"/>
              </w:rPr>
            </w:pPr>
            <w:r>
              <w:rPr>
                <w:rFonts w:ascii="Times New Roman" w:cs="Times New Roman" w:eastAsia="Times New Roman" w:hAnsi="Times New Roman"/>
                <w:sz w:val="18"/>
                <w:szCs w:val="18"/>
                <w:color w:val="auto"/>
              </w:rPr>
              <w:t>1,521,267</w:t>
            </w:r>
          </w:p>
        </w:tc>
      </w:tr>
      <w:tr>
        <w:trPr>
          <w:trHeight w:val="21"/>
        </w:trPr>
        <w:tc>
          <w:tcPr>
            <w:tcW w:w="7160" w:type="dxa"/>
            <w:vAlign w:val="bottom"/>
          </w:tcPr>
          <w:p>
            <w:pPr>
              <w:spacing w:after="0" w:line="20" w:lineRule="exact"/>
              <w:rPr>
                <w:sz w:val="1"/>
                <w:szCs w:val="1"/>
                <w:color w:val="auto"/>
              </w:rPr>
            </w:pPr>
          </w:p>
        </w:tc>
        <w:tc>
          <w:tcPr>
            <w:tcW w:w="200" w:type="dxa"/>
            <w:vAlign w:val="bottom"/>
            <w:tcBorders>
              <w:bottom w:val="single" w:sz="8" w:color="6D6D6D"/>
            </w:tcBorders>
          </w:tcPr>
          <w:p>
            <w:pPr>
              <w:spacing w:after="0" w:line="20" w:lineRule="exact"/>
              <w:rPr>
                <w:sz w:val="1"/>
                <w:szCs w:val="1"/>
                <w:color w:val="auto"/>
              </w:rPr>
            </w:pPr>
          </w:p>
        </w:tc>
        <w:tc>
          <w:tcPr>
            <w:tcW w:w="1800" w:type="dxa"/>
            <w:vAlign w:val="bottom"/>
            <w:tcBorders>
              <w:bottom w:val="single" w:sz="8" w:color="6D6D6D"/>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6D6D6D"/>
            </w:tcBorders>
          </w:tcPr>
          <w:p>
            <w:pPr>
              <w:spacing w:after="0" w:line="20" w:lineRule="exact"/>
              <w:rPr>
                <w:sz w:val="1"/>
                <w:szCs w:val="1"/>
                <w:color w:val="auto"/>
              </w:rPr>
            </w:pPr>
          </w:p>
        </w:tc>
        <w:tc>
          <w:tcPr>
            <w:tcW w:w="1780" w:type="dxa"/>
            <w:vAlign w:val="bottom"/>
            <w:tcBorders>
              <w:bottom w:val="single" w:sz="8" w:color="6D6D6D"/>
            </w:tcBorders>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SONDER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data</w:t>
      </w:r>
      <w:r>
        <w:rPr>
          <w:rFonts w:ascii="Times New Roman" w:cs="Times New Roman" w:eastAsia="Times New Roman" w:hAnsi="Times New Roman"/>
          <w:sz w:val="18"/>
          <w:szCs w:val="18"/>
          <w:color w:val="auto"/>
        </w:rPr>
        <w:t>)</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260" w:type="dxa"/>
            <w:vAlign w:val="bottom"/>
          </w:tcPr>
          <w:p>
            <w:pPr>
              <w:spacing w:after="0"/>
              <w:rPr>
                <w:sz w:val="20"/>
                <w:szCs w:val="20"/>
                <w:color w:val="auto"/>
              </w:rPr>
            </w:pPr>
          </w:p>
        </w:tc>
        <w:tc>
          <w:tcPr>
            <w:tcW w:w="304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color w:val="auto"/>
              </w:rPr>
              <w:t>Nine months ended September 30,</w:t>
            </w:r>
          </w:p>
        </w:tc>
      </w:tr>
      <w:tr>
        <w:trPr>
          <w:trHeight w:val="223"/>
        </w:trPr>
        <w:tc>
          <w:tcPr>
            <w:tcW w:w="448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162,114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160,896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460,194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437,802</w:t>
            </w:r>
          </w:p>
        </w:tc>
      </w:tr>
      <w:tr>
        <w:trPr>
          <w:trHeight w:val="229"/>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operating expenses:</w:t>
            </w: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176"/>
        </w:trPr>
        <w:tc>
          <w:tcPr>
            <w:tcW w:w="4480" w:type="dxa"/>
            <w:vAlign w:val="bottom"/>
            <w:shd w:val="clear" w:color="auto" w:fill="CCEEFF"/>
          </w:tcPr>
          <w:p>
            <w:pPr>
              <w:ind w:left="260"/>
              <w:spacing w:after="0" w:line="176" w:lineRule="exact"/>
              <w:rPr>
                <w:sz w:val="20"/>
                <w:szCs w:val="20"/>
                <w:color w:val="auto"/>
              </w:rPr>
            </w:pPr>
            <w:r>
              <w:rPr>
                <w:rFonts w:ascii="Times New Roman" w:cs="Times New Roman" w:eastAsia="Times New Roman" w:hAnsi="Times New Roman"/>
                <w:sz w:val="18"/>
                <w:szCs w:val="18"/>
                <w:color w:val="auto"/>
              </w:rPr>
              <w:t>Cost of revenue (excluding depreciation and</w:t>
            </w:r>
          </w:p>
        </w:tc>
        <w:tc>
          <w:tcPr>
            <w:tcW w:w="2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243"/>
        </w:trPr>
        <w:tc>
          <w:tcPr>
            <w:tcW w:w="4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amortization)</w:t>
            </w:r>
          </w:p>
        </w:tc>
        <w:tc>
          <w:tcPr>
            <w:tcW w:w="26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92,991</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103,374</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288,006</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289,947</w:t>
            </w:r>
          </w:p>
        </w:tc>
      </w:tr>
      <w:tr>
        <w:trPr>
          <w:trHeight w:val="230"/>
        </w:trPr>
        <w:tc>
          <w:tcPr>
            <w:tcW w:w="4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Operations and support</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45,292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50,376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141,683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154,426</w:t>
            </w:r>
          </w:p>
        </w:tc>
      </w:tr>
      <w:tr>
        <w:trPr>
          <w:trHeight w:val="229"/>
        </w:trPr>
        <w:tc>
          <w:tcPr>
            <w:tcW w:w="4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29,731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30,548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83,288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92,937</w:t>
            </w:r>
          </w:p>
        </w:tc>
      </w:tr>
      <w:tr>
        <w:trPr>
          <w:trHeight w:val="229"/>
        </w:trPr>
        <w:tc>
          <w:tcPr>
            <w:tcW w:w="4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17,289</w:t>
            </w:r>
          </w:p>
        </w:tc>
      </w:tr>
      <w:tr>
        <w:trPr>
          <w:trHeight w:val="230"/>
        </w:trPr>
        <w:tc>
          <w:tcPr>
            <w:tcW w:w="4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63,113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54,894</w:t>
            </w:r>
          </w:p>
        </w:tc>
      </w:tr>
      <w:tr>
        <w:trPr>
          <w:trHeight w:val="243"/>
        </w:trPr>
        <w:tc>
          <w:tcPr>
            <w:tcW w:w="4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Impairment loss</w:t>
            </w:r>
          </w:p>
        </w:tc>
        <w:tc>
          <w:tcPr>
            <w:tcW w:w="260" w:type="dxa"/>
            <w:vAlign w:val="bottom"/>
          </w:tcPr>
          <w:p>
            <w:pPr>
              <w:spacing w:after="0"/>
              <w:rPr>
                <w:sz w:val="21"/>
                <w:szCs w:val="21"/>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w:t>
            </w:r>
          </w:p>
        </w:tc>
      </w:tr>
      <w:tr>
        <w:trPr>
          <w:trHeight w:val="243"/>
        </w:trPr>
        <w:tc>
          <w:tcPr>
            <w:tcW w:w="4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26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3,896</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w:t>
            </w:r>
          </w:p>
        </w:tc>
      </w:tr>
      <w:tr>
        <w:trPr>
          <w:trHeight w:val="223"/>
        </w:trPr>
        <w:tc>
          <w:tcPr>
            <w:tcW w:w="44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costs and operating expenses</w:t>
            </w: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196,037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211,737</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593,477</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612,699</w:t>
            </w:r>
          </w:p>
        </w:tc>
      </w:tr>
      <w:tr>
        <w:trPr>
          <w:trHeight w:val="223"/>
        </w:trPr>
        <w:tc>
          <w:tcPr>
            <w:tcW w:w="44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Loss from operations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(33,923)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(50,841)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(133,283)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(174,897)</w:t>
            </w:r>
          </w:p>
        </w:tc>
      </w:tr>
      <w:tr>
        <w:trPr>
          <w:trHeight w:val="216"/>
        </w:trPr>
        <w:tc>
          <w:tcPr>
            <w:tcW w:w="4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0"/>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18,285</w:t>
            </w:r>
          </w:p>
        </w:tc>
      </w:tr>
      <w:tr>
        <w:trPr>
          <w:trHeight w:val="229"/>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SPAC Warrants</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r>
      <w:tr>
        <w:trPr>
          <w:trHeight w:val="230"/>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Earn Out Liability</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w:t>
            </w:r>
          </w:p>
        </w:tc>
      </w:tr>
      <w:tr>
        <w:trPr>
          <w:trHeight w:val="229"/>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adjustment (gains), net</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(95,579)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(8,576)</w:t>
            </w:r>
          </w:p>
        </w:tc>
      </w:tr>
      <w:tr>
        <w:trPr>
          <w:trHeight w:val="230"/>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preferred stock issuance</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59,490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59,490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forward contract</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86,570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86,570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(11,856)</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w:t>
            </w:r>
          </w:p>
        </w:tc>
      </w:tr>
      <w:tr>
        <w:trPr>
          <w:trHeight w:val="223"/>
        </w:trPr>
        <w:tc>
          <w:tcPr>
            <w:tcW w:w="44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non-operating expense, net</w:t>
            </w: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145,266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6,714</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63,222</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8,655</w:t>
            </w:r>
          </w:p>
        </w:tc>
      </w:tr>
      <w:tr>
        <w:trPr>
          <w:trHeight w:val="223"/>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(179,189)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(57,555)</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(196,505)</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(183,552)</w:t>
            </w:r>
          </w:p>
        </w:tc>
      </w:tr>
      <w:tr>
        <w:trPr>
          <w:trHeight w:val="223"/>
        </w:trPr>
        <w:tc>
          <w:tcPr>
            <w:tcW w:w="44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tcBorders>
              <w:bottom w:val="single" w:sz="8" w:color="6D6D6D"/>
            </w:tcBorders>
          </w:tcPr>
          <w:p>
            <w:pPr>
              <w:spacing w:after="0"/>
              <w:rPr>
                <w:sz w:val="19"/>
                <w:szCs w:val="19"/>
                <w:color w:val="auto"/>
              </w:rPr>
            </w:pPr>
          </w:p>
        </w:tc>
        <w:tc>
          <w:tcPr>
            <w:tcW w:w="1360" w:type="dxa"/>
            <w:vAlign w:val="bottom"/>
            <w:tcBorders>
              <w:bottom w:val="single" w:sz="8" w:color="6D6D6D"/>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6D6D6D"/>
            </w:tcBorders>
          </w:tcPr>
          <w:p>
            <w:pPr>
              <w:spacing w:after="0"/>
              <w:rPr>
                <w:sz w:val="19"/>
                <w:szCs w:val="19"/>
                <w:color w:val="auto"/>
              </w:rPr>
            </w:pPr>
          </w:p>
        </w:tc>
        <w:tc>
          <w:tcPr>
            <w:tcW w:w="1280" w:type="dxa"/>
            <w:vAlign w:val="bottom"/>
            <w:tcBorders>
              <w:bottom w:val="single" w:sz="8" w:color="6D6D6D"/>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6D6D6D"/>
            </w:tcBorders>
          </w:tcPr>
          <w:p>
            <w:pPr>
              <w:spacing w:after="0"/>
              <w:rPr>
                <w:sz w:val="19"/>
                <w:szCs w:val="19"/>
                <w:color w:val="auto"/>
              </w:rPr>
            </w:pPr>
          </w:p>
        </w:tc>
        <w:tc>
          <w:tcPr>
            <w:tcW w:w="1360" w:type="dxa"/>
            <w:vAlign w:val="bottom"/>
            <w:tcBorders>
              <w:bottom w:val="single" w:sz="8" w:color="6D6D6D"/>
            </w:tcBorders>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6D6D6D"/>
            </w:tcBorders>
          </w:tcPr>
          <w:p>
            <w:pPr>
              <w:spacing w:after="0"/>
              <w:rPr>
                <w:sz w:val="19"/>
                <w:szCs w:val="19"/>
                <w:color w:val="auto"/>
              </w:rPr>
            </w:pPr>
          </w:p>
        </w:tc>
        <w:tc>
          <w:tcPr>
            <w:tcW w:w="1240" w:type="dxa"/>
            <w:vAlign w:val="bottom"/>
            <w:tcBorders>
              <w:bottom w:val="single" w:sz="8" w:color="6D6D6D"/>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48"/>
        </w:trPr>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Borders>
              <w:bottom w:val="single" w:sz="8" w:color="6D6D6D"/>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6D6D6D"/>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(179,391)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6D6D6D"/>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6D6D6D"/>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(57,630)</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6D6D6D"/>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6D6D6D"/>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(197,131)</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6D6D6D"/>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6D6D6D"/>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(183,679)</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6D6D6D"/>
            </w:tcBorders>
          </w:tcPr>
          <w:p>
            <w:pPr>
              <w:spacing w:after="0" w:line="20" w:lineRule="exact"/>
              <w:rPr>
                <w:sz w:val="1"/>
                <w:szCs w:val="1"/>
                <w:color w:val="auto"/>
              </w:rPr>
            </w:pPr>
          </w:p>
        </w:tc>
        <w:tc>
          <w:tcPr>
            <w:tcW w:w="1360" w:type="dxa"/>
            <w:vAlign w:val="bottom"/>
            <w:tcBorders>
              <w:top w:val="single" w:sz="8" w:color="CCEEFF"/>
              <w:bottom w:val="single" w:sz="8" w:color="6D6D6D"/>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6D6D6D"/>
            </w:tcBorders>
          </w:tcPr>
          <w:p>
            <w:pPr>
              <w:spacing w:after="0" w:line="20" w:lineRule="exact"/>
              <w:rPr>
                <w:sz w:val="1"/>
                <w:szCs w:val="1"/>
                <w:color w:val="auto"/>
              </w:rPr>
            </w:pPr>
          </w:p>
        </w:tc>
        <w:tc>
          <w:tcPr>
            <w:tcW w:w="1280" w:type="dxa"/>
            <w:vAlign w:val="bottom"/>
            <w:tcBorders>
              <w:top w:val="single" w:sz="8" w:color="CCEEFF"/>
              <w:bottom w:val="single" w:sz="8" w:color="6D6D6D"/>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6D6D6D"/>
            </w:tcBorders>
          </w:tcPr>
          <w:p>
            <w:pPr>
              <w:spacing w:after="0" w:line="20" w:lineRule="exact"/>
              <w:rPr>
                <w:sz w:val="1"/>
                <w:szCs w:val="1"/>
                <w:color w:val="auto"/>
              </w:rPr>
            </w:pPr>
          </w:p>
        </w:tc>
        <w:tc>
          <w:tcPr>
            <w:tcW w:w="1360" w:type="dxa"/>
            <w:vAlign w:val="bottom"/>
            <w:tcBorders>
              <w:top w:val="single" w:sz="8" w:color="CCEEFF"/>
              <w:bottom w:val="single" w:sz="8" w:color="6D6D6D"/>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6D6D6D"/>
            </w:tcBorders>
          </w:tcPr>
          <w:p>
            <w:pPr>
              <w:spacing w:after="0" w:line="20" w:lineRule="exact"/>
              <w:rPr>
                <w:sz w:val="1"/>
                <w:szCs w:val="1"/>
                <w:color w:val="auto"/>
              </w:rPr>
            </w:pPr>
          </w:p>
        </w:tc>
        <w:tc>
          <w:tcPr>
            <w:tcW w:w="1240" w:type="dxa"/>
            <w:vAlign w:val="bottom"/>
            <w:tcBorders>
              <w:top w:val="single" w:sz="8" w:color="CCEEFF"/>
              <w:bottom w:val="single" w:sz="8" w:color="6D6D6D"/>
            </w:tcBorders>
          </w:tcPr>
          <w:p>
            <w:pPr>
              <w:spacing w:after="0" w:line="20" w:lineRule="exact"/>
              <w:rPr>
                <w:sz w:val="1"/>
                <w:szCs w:val="1"/>
                <w:color w:val="auto"/>
              </w:rPr>
            </w:pPr>
          </w:p>
        </w:tc>
      </w:tr>
      <w:tr>
        <w:trPr>
          <w:trHeight w:val="163"/>
        </w:trPr>
        <w:tc>
          <w:tcPr>
            <w:tcW w:w="4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55"/>
        </w:trPr>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net loss per common share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w:t>
            </w: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4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30"/>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4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(179,391)</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(57,630)</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(197,131)</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(183,679)</w:t>
            </w:r>
          </w:p>
        </w:tc>
      </w:tr>
      <w:tr>
        <w:trPr>
          <w:trHeight w:val="230"/>
        </w:trPr>
        <w:tc>
          <w:tcPr>
            <w:tcW w:w="4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foreign currency translation adjustment</w:t>
            </w:r>
          </w:p>
        </w:tc>
        <w:tc>
          <w:tcPr>
            <w:tcW w:w="260" w:type="dxa"/>
            <w:vAlign w:val="bottom"/>
            <w:tcBorders>
              <w:bottom w:val="single" w:sz="8" w:color="6D6D6D"/>
            </w:tcBorders>
            <w:shd w:val="clear" w:color="auto" w:fill="CCEEFF"/>
          </w:tcPr>
          <w:p>
            <w:pPr>
              <w:spacing w:after="0"/>
              <w:rPr>
                <w:sz w:val="19"/>
                <w:szCs w:val="19"/>
                <w:color w:val="auto"/>
              </w:rPr>
            </w:pPr>
          </w:p>
        </w:tc>
        <w:tc>
          <w:tcPr>
            <w:tcW w:w="1360" w:type="dxa"/>
            <w:vAlign w:val="bottom"/>
            <w:tcBorders>
              <w:bottom w:val="single" w:sz="8" w:color="6D6D6D"/>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6D6D6D"/>
            </w:tcBorders>
            <w:shd w:val="clear" w:color="auto" w:fill="CCEEFF"/>
          </w:tcPr>
          <w:p>
            <w:pPr>
              <w:spacing w:after="0"/>
              <w:rPr>
                <w:sz w:val="19"/>
                <w:szCs w:val="19"/>
                <w:color w:val="auto"/>
              </w:rPr>
            </w:pPr>
          </w:p>
        </w:tc>
        <w:tc>
          <w:tcPr>
            <w:tcW w:w="1280" w:type="dxa"/>
            <w:vAlign w:val="bottom"/>
            <w:tcBorders>
              <w:bottom w:val="single" w:sz="8" w:color="6D6D6D"/>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3,547</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6D6D6D"/>
            </w:tcBorders>
            <w:shd w:val="clear" w:color="auto" w:fill="CCEEFF"/>
          </w:tcPr>
          <w:p>
            <w:pPr>
              <w:spacing w:after="0"/>
              <w:rPr>
                <w:sz w:val="19"/>
                <w:szCs w:val="19"/>
                <w:color w:val="auto"/>
              </w:rPr>
            </w:pPr>
          </w:p>
        </w:tc>
        <w:tc>
          <w:tcPr>
            <w:tcW w:w="1360" w:type="dxa"/>
            <w:vAlign w:val="bottom"/>
            <w:tcBorders>
              <w:bottom w:val="single" w:sz="8" w:color="6D6D6D"/>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(4,633)</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6D6D6D"/>
            </w:tcBorders>
            <w:shd w:val="clear" w:color="auto" w:fill="CCEEFF"/>
          </w:tcPr>
          <w:p>
            <w:pPr>
              <w:spacing w:after="0"/>
              <w:rPr>
                <w:sz w:val="19"/>
                <w:szCs w:val="19"/>
                <w:color w:val="auto"/>
              </w:rPr>
            </w:pPr>
          </w:p>
        </w:tc>
        <w:tc>
          <w:tcPr>
            <w:tcW w:w="1240" w:type="dxa"/>
            <w:vAlign w:val="bottom"/>
            <w:tcBorders>
              <w:bottom w:val="single" w:sz="8" w:color="6D6D6D"/>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(3,249)</w:t>
            </w:r>
          </w:p>
        </w:tc>
      </w:tr>
      <w:tr>
        <w:trPr>
          <w:trHeight w:val="223"/>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260" w:type="dxa"/>
            <w:vAlign w:val="bottom"/>
            <w:tcBorders>
              <w:bottom w:val="single" w:sz="8" w:color="6D6D6D"/>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6D6D6D"/>
            </w:tcBorders>
          </w:tcPr>
          <w:p>
            <w:pPr>
              <w:jc w:val="right"/>
              <w:spacing w:after="0"/>
              <w:rPr>
                <w:sz w:val="20"/>
                <w:szCs w:val="20"/>
                <w:color w:val="auto"/>
              </w:rPr>
            </w:pPr>
            <w:r>
              <w:rPr>
                <w:rFonts w:ascii="Times New Roman" w:cs="Times New Roman" w:eastAsia="Times New Roman" w:hAnsi="Times New Roman"/>
                <w:sz w:val="18"/>
                <w:szCs w:val="18"/>
                <w:color w:val="auto"/>
              </w:rPr>
              <w:t>(184,830)</w:t>
            </w:r>
          </w:p>
        </w:tc>
        <w:tc>
          <w:tcPr>
            <w:tcW w:w="100" w:type="dxa"/>
            <w:vAlign w:val="bottom"/>
          </w:tcPr>
          <w:p>
            <w:pPr>
              <w:spacing w:after="0"/>
              <w:rPr>
                <w:sz w:val="19"/>
                <w:szCs w:val="19"/>
                <w:color w:val="auto"/>
              </w:rPr>
            </w:pPr>
          </w:p>
        </w:tc>
        <w:tc>
          <w:tcPr>
            <w:tcW w:w="380" w:type="dxa"/>
            <w:vAlign w:val="bottom"/>
            <w:tcBorders>
              <w:bottom w:val="single" w:sz="8" w:color="6D6D6D"/>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6D6D6D"/>
            </w:tcBorders>
          </w:tcPr>
          <w:p>
            <w:pPr>
              <w:jc w:val="right"/>
              <w:spacing w:after="0"/>
              <w:rPr>
                <w:sz w:val="20"/>
                <w:szCs w:val="20"/>
                <w:color w:val="auto"/>
              </w:rPr>
            </w:pPr>
            <w:r>
              <w:rPr>
                <w:rFonts w:ascii="Times New Roman" w:cs="Times New Roman" w:eastAsia="Times New Roman" w:hAnsi="Times New Roman"/>
                <w:sz w:val="18"/>
                <w:szCs w:val="18"/>
                <w:color w:val="auto"/>
              </w:rPr>
              <w:t>(54,083)</w:t>
            </w:r>
          </w:p>
        </w:tc>
        <w:tc>
          <w:tcPr>
            <w:tcW w:w="80" w:type="dxa"/>
            <w:vAlign w:val="bottom"/>
          </w:tcPr>
          <w:p>
            <w:pPr>
              <w:spacing w:after="0"/>
              <w:rPr>
                <w:sz w:val="19"/>
                <w:szCs w:val="19"/>
                <w:color w:val="auto"/>
              </w:rPr>
            </w:pPr>
          </w:p>
        </w:tc>
        <w:tc>
          <w:tcPr>
            <w:tcW w:w="260" w:type="dxa"/>
            <w:vAlign w:val="bottom"/>
            <w:tcBorders>
              <w:bottom w:val="single" w:sz="8" w:color="6D6D6D"/>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6D6D6D"/>
            </w:tcBorders>
          </w:tcPr>
          <w:p>
            <w:pPr>
              <w:jc w:val="right"/>
              <w:spacing w:after="0"/>
              <w:rPr>
                <w:sz w:val="20"/>
                <w:szCs w:val="20"/>
                <w:color w:val="auto"/>
              </w:rPr>
            </w:pPr>
            <w:r>
              <w:rPr>
                <w:rFonts w:ascii="Times New Roman" w:cs="Times New Roman" w:eastAsia="Times New Roman" w:hAnsi="Times New Roman"/>
                <w:sz w:val="18"/>
                <w:szCs w:val="18"/>
                <w:color w:val="auto"/>
              </w:rPr>
              <w:t>(201,764)</w:t>
            </w:r>
          </w:p>
        </w:tc>
        <w:tc>
          <w:tcPr>
            <w:tcW w:w="80" w:type="dxa"/>
            <w:vAlign w:val="bottom"/>
          </w:tcPr>
          <w:p>
            <w:pPr>
              <w:spacing w:after="0"/>
              <w:rPr>
                <w:sz w:val="19"/>
                <w:szCs w:val="19"/>
                <w:color w:val="auto"/>
              </w:rPr>
            </w:pPr>
          </w:p>
        </w:tc>
        <w:tc>
          <w:tcPr>
            <w:tcW w:w="360" w:type="dxa"/>
            <w:vAlign w:val="bottom"/>
            <w:tcBorders>
              <w:bottom w:val="single" w:sz="8" w:color="6D6D6D"/>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6D6D6D"/>
            </w:tcBorders>
          </w:tcPr>
          <w:p>
            <w:pPr>
              <w:jc w:val="right"/>
              <w:spacing w:after="0"/>
              <w:rPr>
                <w:sz w:val="20"/>
                <w:szCs w:val="20"/>
                <w:color w:val="auto"/>
              </w:rPr>
            </w:pPr>
            <w:r>
              <w:rPr>
                <w:rFonts w:ascii="Times New Roman" w:cs="Times New Roman" w:eastAsia="Times New Roman" w:hAnsi="Times New Roman"/>
                <w:sz w:val="18"/>
                <w:szCs w:val="18"/>
                <w:color w:val="auto"/>
              </w:rPr>
              <w:t>(186,928)</w:t>
            </w:r>
          </w:p>
        </w:tc>
      </w:tr>
      <w:tr>
        <w:trPr>
          <w:trHeight w:val="20"/>
        </w:trPr>
        <w:tc>
          <w:tcPr>
            <w:tcW w:w="4480" w:type="dxa"/>
            <w:vAlign w:val="bottom"/>
          </w:tcPr>
          <w:p>
            <w:pPr>
              <w:spacing w:after="0" w:line="20" w:lineRule="exact"/>
              <w:rPr>
                <w:sz w:val="1"/>
                <w:szCs w:val="1"/>
                <w:color w:val="auto"/>
              </w:rPr>
            </w:pPr>
          </w:p>
        </w:tc>
        <w:tc>
          <w:tcPr>
            <w:tcW w:w="260" w:type="dxa"/>
            <w:vAlign w:val="bottom"/>
            <w:tcBorders>
              <w:bottom w:val="single" w:sz="8" w:color="6D6D6D"/>
            </w:tcBorders>
          </w:tcPr>
          <w:p>
            <w:pPr>
              <w:spacing w:after="0" w:line="20" w:lineRule="exact"/>
              <w:rPr>
                <w:sz w:val="1"/>
                <w:szCs w:val="1"/>
                <w:color w:val="auto"/>
              </w:rPr>
            </w:pPr>
          </w:p>
        </w:tc>
        <w:tc>
          <w:tcPr>
            <w:tcW w:w="1360" w:type="dxa"/>
            <w:vAlign w:val="bottom"/>
            <w:tcBorders>
              <w:bottom w:val="single" w:sz="8" w:color="6D6D6D"/>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6D6D6D"/>
            </w:tcBorders>
          </w:tcPr>
          <w:p>
            <w:pPr>
              <w:spacing w:after="0" w:line="20" w:lineRule="exact"/>
              <w:rPr>
                <w:sz w:val="1"/>
                <w:szCs w:val="1"/>
                <w:color w:val="auto"/>
              </w:rPr>
            </w:pPr>
          </w:p>
        </w:tc>
        <w:tc>
          <w:tcPr>
            <w:tcW w:w="1280" w:type="dxa"/>
            <w:vAlign w:val="bottom"/>
            <w:tcBorders>
              <w:bottom w:val="single" w:sz="8" w:color="6D6D6D"/>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6D6D6D"/>
            </w:tcBorders>
          </w:tcPr>
          <w:p>
            <w:pPr>
              <w:spacing w:after="0" w:line="20" w:lineRule="exact"/>
              <w:rPr>
                <w:sz w:val="1"/>
                <w:szCs w:val="1"/>
                <w:color w:val="auto"/>
              </w:rPr>
            </w:pPr>
          </w:p>
        </w:tc>
        <w:tc>
          <w:tcPr>
            <w:tcW w:w="1360" w:type="dxa"/>
            <w:vAlign w:val="bottom"/>
            <w:tcBorders>
              <w:bottom w:val="single" w:sz="8" w:color="6D6D6D"/>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6D6D6D"/>
            </w:tcBorders>
          </w:tcPr>
          <w:p>
            <w:pPr>
              <w:spacing w:after="0" w:line="20" w:lineRule="exact"/>
              <w:rPr>
                <w:sz w:val="1"/>
                <w:szCs w:val="1"/>
                <w:color w:val="auto"/>
              </w:rPr>
            </w:pPr>
          </w:p>
        </w:tc>
        <w:tc>
          <w:tcPr>
            <w:tcW w:w="1240" w:type="dxa"/>
            <w:vAlign w:val="bottom"/>
            <w:tcBorders>
              <w:bottom w:val="single" w:sz="8" w:color="6D6D6D"/>
            </w:tcBorders>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left="340" w:right="2420"/>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SONDER HOLDINGS INC. AND SUBSIDIARIES CONDENSED CONSOLIDATED STATEMENTS OF CASH FLOWS (Unaudited) </w:t>
      </w:r>
      <w:r>
        <w:rPr>
          <w:rFonts w:ascii="Times New Roman" w:cs="Times New Roman" w:eastAsia="Times New Roman" w:hAnsi="Times New Roman"/>
          <w:sz w:val="18"/>
          <w:szCs w:val="18"/>
          <w:i w:val="1"/>
          <w:iCs w:val="1"/>
          <w:color w:val="auto"/>
        </w:rPr>
        <w:t>(in thousands)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4"/>
          </w:tcPr>
          <w:p>
            <w:pPr>
              <w:jc w:val="right"/>
              <w:ind w:right="410"/>
              <w:spacing w:after="0"/>
              <w:rPr>
                <w:sz w:val="20"/>
                <w:szCs w:val="20"/>
                <w:color w:val="auto"/>
              </w:rPr>
            </w:pPr>
            <w:r>
              <w:rPr>
                <w:rFonts w:ascii="Times New Roman" w:cs="Times New Roman" w:eastAsia="Times New Roman" w:hAnsi="Times New Roman"/>
                <w:sz w:val="18"/>
                <w:szCs w:val="18"/>
                <w:color w:val="auto"/>
              </w:rPr>
              <w:t>Nine months ended September 30,</w:t>
            </w:r>
          </w:p>
        </w:tc>
      </w:tr>
      <w:tr>
        <w:trPr>
          <w:trHeight w:val="223"/>
        </w:trPr>
        <w:tc>
          <w:tcPr>
            <w:tcW w:w="77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2023</w:t>
            </w:r>
          </w:p>
        </w:tc>
      </w:tr>
      <w:tr>
        <w:trPr>
          <w:trHeight w:val="20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29"/>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(197,131)</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(183,679)</w:t>
            </w:r>
          </w:p>
        </w:tc>
      </w:tr>
      <w:tr>
        <w:trPr>
          <w:trHeight w:val="230"/>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9"/>
        </w:trPr>
        <w:tc>
          <w:tcPr>
            <w:tcW w:w="7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18,908</w:t>
            </w:r>
          </w:p>
        </w:tc>
      </w:tr>
      <w:tr>
        <w:trPr>
          <w:trHeight w:val="230"/>
        </w:trPr>
        <w:tc>
          <w:tcPr>
            <w:tcW w:w="7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23,982</w:t>
            </w:r>
          </w:p>
        </w:tc>
      </w:tr>
      <w:tr>
        <w:trPr>
          <w:trHeight w:val="229"/>
        </w:trPr>
        <w:tc>
          <w:tcPr>
            <w:tcW w:w="7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operating lease ROU assets</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130,630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138,768</w:t>
            </w:r>
          </w:p>
        </w:tc>
      </w:tr>
      <w:tr>
        <w:trPr>
          <w:trHeight w:val="229"/>
        </w:trPr>
        <w:tc>
          <w:tcPr>
            <w:tcW w:w="7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Impairment loss</w:t>
            </w:r>
          </w:p>
        </w:tc>
        <w:tc>
          <w:tcPr>
            <w:tcW w:w="3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3051F2"/>
              </w:rPr>
              <w:t>—</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w:t>
            </w:r>
          </w:p>
        </w:tc>
      </w:tr>
      <w:tr>
        <w:trPr>
          <w:trHeight w:val="230"/>
        </w:trPr>
        <w:tc>
          <w:tcPr>
            <w:tcW w:w="7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Lease adjustment gains, net</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(95,579)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(8,576)</w:t>
            </w:r>
          </w:p>
        </w:tc>
      </w:tr>
      <w:tr>
        <w:trPr>
          <w:trHeight w:val="229"/>
        </w:trPr>
        <w:tc>
          <w:tcPr>
            <w:tcW w:w="7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on foreign exchange</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w:t>
            </w:r>
          </w:p>
        </w:tc>
      </w:tr>
      <w:tr>
        <w:trPr>
          <w:trHeight w:val="229"/>
        </w:trPr>
        <w:tc>
          <w:tcPr>
            <w:tcW w:w="7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Capitalization of paid-in-kind interest on long-term debt</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20,418</w:t>
            </w:r>
          </w:p>
        </w:tc>
      </w:tr>
      <w:tr>
        <w:trPr>
          <w:trHeight w:val="230"/>
        </w:trPr>
        <w:tc>
          <w:tcPr>
            <w:tcW w:w="7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7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debt discounts</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w:t>
            </w:r>
          </w:p>
        </w:tc>
      </w:tr>
      <w:tr>
        <w:trPr>
          <w:trHeight w:val="230"/>
        </w:trPr>
        <w:tc>
          <w:tcPr>
            <w:tcW w:w="7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SPAC Warrants</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w:t>
            </w:r>
          </w:p>
        </w:tc>
      </w:tr>
      <w:tr>
        <w:trPr>
          <w:trHeight w:val="229"/>
        </w:trPr>
        <w:tc>
          <w:tcPr>
            <w:tcW w:w="7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value of Earn Out Liability</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w:t>
            </w:r>
          </w:p>
        </w:tc>
      </w:tr>
      <w:tr>
        <w:trPr>
          <w:trHeight w:val="229"/>
        </w:trPr>
        <w:tc>
          <w:tcPr>
            <w:tcW w:w="7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forward contracts</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86,570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on preferred stock issuance</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59,490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operating activities</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w:t>
            </w:r>
          </w:p>
        </w:tc>
      </w:tr>
      <w:tr>
        <w:trPr>
          <w:trHeight w:val="230"/>
        </w:trPr>
        <w:tc>
          <w:tcPr>
            <w:tcW w:w="7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w:t>
            </w: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77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Accounts receivable, net</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(4,219)</w:t>
            </w:r>
          </w:p>
        </w:tc>
      </w:tr>
      <w:tr>
        <w:trPr>
          <w:trHeight w:val="230"/>
        </w:trPr>
        <w:tc>
          <w:tcPr>
            <w:tcW w:w="77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Prepaid expenses</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w:t>
            </w:r>
          </w:p>
        </w:tc>
      </w:tr>
      <w:tr>
        <w:trPr>
          <w:trHeight w:val="229"/>
        </w:trPr>
        <w:tc>
          <w:tcPr>
            <w:tcW w:w="77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Other current and non-current assets</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0"/>
        </w:trPr>
        <w:tc>
          <w:tcPr>
            <w:tcW w:w="77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4,044</w:t>
            </w:r>
          </w:p>
        </w:tc>
      </w:tr>
      <w:tr>
        <w:trPr>
          <w:trHeight w:val="230"/>
        </w:trPr>
        <w:tc>
          <w:tcPr>
            <w:tcW w:w="77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Accrued liabilities</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(5,434)</w:t>
            </w:r>
          </w:p>
        </w:tc>
      </w:tr>
      <w:tr>
        <w:trPr>
          <w:trHeight w:val="230"/>
        </w:trPr>
        <w:tc>
          <w:tcPr>
            <w:tcW w:w="77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Taxes payable</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r>
      <w:tr>
        <w:trPr>
          <w:trHeight w:val="229"/>
        </w:trPr>
        <w:tc>
          <w:tcPr>
            <w:tcW w:w="77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Deferred revenue</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25,728</w:t>
            </w:r>
          </w:p>
        </w:tc>
      </w:tr>
      <w:tr>
        <w:trPr>
          <w:trHeight w:val="230"/>
        </w:trPr>
        <w:tc>
          <w:tcPr>
            <w:tcW w:w="77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Operating lease ROU assets and operating lease liabilities, net</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(146,221)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(103,939)</w:t>
            </w:r>
          </w:p>
        </w:tc>
      </w:tr>
      <w:tr>
        <w:trPr>
          <w:trHeight w:val="230"/>
        </w:trPr>
        <w:tc>
          <w:tcPr>
            <w:tcW w:w="77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Other current and non-current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r>
      <w:tr>
        <w:trPr>
          <w:trHeight w:val="223"/>
        </w:trPr>
        <w:tc>
          <w:tcPr>
            <w:tcW w:w="7740" w:type="dxa"/>
            <w:vAlign w:val="bottom"/>
            <w:tcBorders>
              <w:bottom w:val="single" w:sz="8" w:color="CCEEFF"/>
            </w:tcBorders>
          </w:tcPr>
          <w:p>
            <w:pPr>
              <w:ind w:left="78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(90,451)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(72,537)</w:t>
            </w:r>
          </w:p>
        </w:tc>
      </w:tr>
      <w:tr>
        <w:trPr>
          <w:trHeight w:val="21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30"/>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(11,319)</w:t>
            </w:r>
          </w:p>
        </w:tc>
      </w:tr>
      <w:tr>
        <w:trPr>
          <w:trHeight w:val="229"/>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Capitalization of internal-use software</w:t>
            </w:r>
          </w:p>
        </w:tc>
        <w:tc>
          <w:tcPr>
            <w:tcW w:w="3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w:t>
            </w:r>
          </w:p>
        </w:tc>
      </w:tr>
      <w:tr>
        <w:trPr>
          <w:trHeight w:val="223"/>
        </w:trPr>
        <w:tc>
          <w:tcPr>
            <w:tcW w:w="7740" w:type="dxa"/>
            <w:vAlign w:val="bottom"/>
            <w:tcBorders>
              <w:bottom w:val="single" w:sz="8" w:color="CCEEFF"/>
            </w:tcBorders>
          </w:tcPr>
          <w:p>
            <w:pPr>
              <w:ind w:left="7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(12,436)</w:t>
            </w:r>
          </w:p>
        </w:tc>
      </w:tr>
      <w:tr>
        <w:trPr>
          <w:trHeight w:val="21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30"/>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Repayment of debt</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30"/>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debt financing</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issuance of debt</w:t>
            </w:r>
          </w:p>
        </w:tc>
        <w:tc>
          <w:tcPr>
            <w:tcW w:w="32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230"/>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 of issuance costs</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preferred stock issuance</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exercise of stock options and common stock warrants</w:t>
            </w:r>
          </w:p>
        </w:tc>
        <w:tc>
          <w:tcPr>
            <w:tcW w:w="3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7740" w:type="dxa"/>
            <w:vAlign w:val="bottom"/>
            <w:tcBorders>
              <w:bottom w:val="single" w:sz="8" w:color="CCEEFF"/>
            </w:tcBorders>
          </w:tcPr>
          <w:p>
            <w:pPr>
              <w:ind w:left="7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32,287</w:t>
            </w:r>
          </w:p>
        </w:tc>
        <w:tc>
          <w:tcPr>
            <w:tcW w:w="1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2,758</w:t>
            </w:r>
          </w:p>
        </w:tc>
      </w:tr>
      <w:tr>
        <w:trPr>
          <w:trHeight w:val="22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Effects of foreign exchange on cash</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r>
      <w:tr>
        <w:trPr>
          <w:trHeight w:val="23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(60,598)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(81,953)</w:t>
            </w:r>
          </w:p>
        </w:tc>
      </w:tr>
      <w:tr>
        <w:trPr>
          <w:trHeight w:val="22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20" w:type="dxa"/>
            <w:vAlign w:val="bottom"/>
            <w:tcBorders>
              <w:bottom w:val="single" w:sz="8" w:color="6D6D6D"/>
            </w:tcBorders>
            <w:shd w:val="clear" w:color="auto" w:fill="CCEEFF"/>
          </w:tcPr>
          <w:p>
            <w:pPr>
              <w:spacing w:after="0"/>
              <w:rPr>
                <w:sz w:val="19"/>
                <w:szCs w:val="19"/>
                <w:color w:val="auto"/>
              </w:rPr>
            </w:pPr>
          </w:p>
        </w:tc>
        <w:tc>
          <w:tcPr>
            <w:tcW w:w="1380" w:type="dxa"/>
            <w:vAlign w:val="bottom"/>
            <w:tcBorders>
              <w:bottom w:val="single" w:sz="8" w:color="6D6D6D"/>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136,497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6D6D6D"/>
            </w:tcBorders>
            <w:shd w:val="clear" w:color="auto" w:fill="CCEEFF"/>
          </w:tcPr>
          <w:p>
            <w:pPr>
              <w:spacing w:after="0"/>
              <w:rPr>
                <w:sz w:val="19"/>
                <w:szCs w:val="19"/>
                <w:color w:val="auto"/>
              </w:rPr>
            </w:pPr>
          </w:p>
        </w:tc>
        <w:tc>
          <w:tcPr>
            <w:tcW w:w="1320" w:type="dxa"/>
            <w:vAlign w:val="bottom"/>
            <w:tcBorders>
              <w:bottom w:val="single" w:sz="8" w:color="6D6D6D"/>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289,186</w:t>
            </w:r>
          </w:p>
        </w:tc>
      </w:tr>
      <w:tr>
        <w:trPr>
          <w:trHeight w:val="22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20" w:type="dxa"/>
            <w:vAlign w:val="bottom"/>
            <w:tcBorders>
              <w:bottom w:val="single" w:sz="8" w:color="6D6D6D"/>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6D6D6D"/>
            </w:tcBorders>
          </w:tcPr>
          <w:p>
            <w:pPr>
              <w:jc w:val="right"/>
              <w:spacing w:after="0"/>
              <w:rPr>
                <w:sz w:val="20"/>
                <w:szCs w:val="20"/>
                <w:color w:val="auto"/>
              </w:rPr>
            </w:pPr>
            <w:r>
              <w:rPr>
                <w:rFonts w:ascii="Times New Roman" w:cs="Times New Roman" w:eastAsia="Times New Roman" w:hAnsi="Times New Roman"/>
                <w:sz w:val="18"/>
                <w:szCs w:val="18"/>
                <w:color w:val="auto"/>
              </w:rPr>
              <w:t>75,899</w:t>
            </w:r>
          </w:p>
        </w:tc>
        <w:tc>
          <w:tcPr>
            <w:tcW w:w="100" w:type="dxa"/>
            <w:vAlign w:val="bottom"/>
          </w:tcPr>
          <w:p>
            <w:pPr>
              <w:spacing w:after="0"/>
              <w:rPr>
                <w:sz w:val="19"/>
                <w:szCs w:val="19"/>
                <w:color w:val="auto"/>
              </w:rPr>
            </w:pPr>
          </w:p>
        </w:tc>
        <w:tc>
          <w:tcPr>
            <w:tcW w:w="380" w:type="dxa"/>
            <w:vAlign w:val="bottom"/>
            <w:tcBorders>
              <w:bottom w:val="single" w:sz="8" w:color="6D6D6D"/>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6D6D6D"/>
            </w:tcBorders>
          </w:tcPr>
          <w:p>
            <w:pPr>
              <w:jc w:val="right"/>
              <w:spacing w:after="0"/>
              <w:rPr>
                <w:sz w:val="20"/>
                <w:szCs w:val="20"/>
                <w:color w:val="auto"/>
              </w:rPr>
            </w:pPr>
            <w:r>
              <w:rPr>
                <w:rFonts w:ascii="Times New Roman" w:cs="Times New Roman" w:eastAsia="Times New Roman" w:hAnsi="Times New Roman"/>
                <w:sz w:val="18"/>
                <w:szCs w:val="18"/>
                <w:color w:val="auto"/>
              </w:rPr>
              <w:t>207,233</w:t>
            </w:r>
          </w:p>
        </w:tc>
      </w:tr>
      <w:tr>
        <w:trPr>
          <w:trHeight w:val="21"/>
        </w:trPr>
        <w:tc>
          <w:tcPr>
            <w:tcW w:w="7740" w:type="dxa"/>
            <w:vAlign w:val="bottom"/>
          </w:tcPr>
          <w:p>
            <w:pPr>
              <w:spacing w:after="0" w:line="20" w:lineRule="exact"/>
              <w:rPr>
                <w:sz w:val="1"/>
                <w:szCs w:val="1"/>
                <w:color w:val="auto"/>
              </w:rPr>
            </w:pPr>
          </w:p>
        </w:tc>
        <w:tc>
          <w:tcPr>
            <w:tcW w:w="320" w:type="dxa"/>
            <w:vAlign w:val="bottom"/>
            <w:tcBorders>
              <w:bottom w:val="single" w:sz="8" w:color="6D6D6D"/>
            </w:tcBorders>
          </w:tcPr>
          <w:p>
            <w:pPr>
              <w:spacing w:after="0" w:line="20" w:lineRule="exact"/>
              <w:rPr>
                <w:sz w:val="1"/>
                <w:szCs w:val="1"/>
                <w:color w:val="auto"/>
              </w:rPr>
            </w:pPr>
          </w:p>
        </w:tc>
        <w:tc>
          <w:tcPr>
            <w:tcW w:w="1380" w:type="dxa"/>
            <w:vAlign w:val="bottom"/>
            <w:tcBorders>
              <w:bottom w:val="single" w:sz="8" w:color="6D6D6D"/>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6D6D6D"/>
            </w:tcBorders>
          </w:tcPr>
          <w:p>
            <w:pPr>
              <w:spacing w:after="0" w:line="20" w:lineRule="exact"/>
              <w:rPr>
                <w:sz w:val="1"/>
                <w:szCs w:val="1"/>
                <w:color w:val="auto"/>
              </w:rPr>
            </w:pPr>
          </w:p>
        </w:tc>
        <w:tc>
          <w:tcPr>
            <w:tcW w:w="1320" w:type="dxa"/>
            <w:vAlign w:val="bottom"/>
            <w:tcBorders>
              <w:bottom w:val="single" w:sz="8" w:color="6D6D6D"/>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3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62"/>
        </w:trPr>
        <w:tc>
          <w:tcPr>
            <w:tcW w:w="40" w:type="dxa"/>
            <w:vAlign w:val="bottom"/>
            <w:tcBorders>
              <w:top w:val="single" w:sz="8" w:color="0000FF"/>
            </w:tcBorders>
          </w:tcPr>
          <w:p>
            <w:pPr>
              <w:spacing w:after="0"/>
              <w:rPr>
                <w:sz w:val="24"/>
                <w:szCs w:val="24"/>
                <w:color w:val="auto"/>
              </w:rPr>
            </w:pPr>
          </w:p>
        </w:tc>
        <w:tc>
          <w:tcPr>
            <w:tcW w:w="1320" w:type="dxa"/>
            <w:vAlign w:val="bottom"/>
            <w:tcBorders>
              <w:top w:val="single" w:sz="8" w:color="0000FF"/>
            </w:tcBorders>
          </w:tcPr>
          <w:p>
            <w:pPr>
              <w:spacing w:after="0"/>
              <w:rPr>
                <w:sz w:val="24"/>
                <w:szCs w:val="24"/>
                <w:color w:val="auto"/>
              </w:rPr>
            </w:pPr>
          </w:p>
        </w:tc>
        <w:tc>
          <w:tcPr>
            <w:tcW w:w="1960" w:type="dxa"/>
            <w:vAlign w:val="bottom"/>
          </w:tcPr>
          <w:p>
            <w:pPr>
              <w:spacing w:after="0"/>
              <w:rPr>
                <w:sz w:val="24"/>
                <w:szCs w:val="24"/>
                <w:color w:val="auto"/>
              </w:rPr>
            </w:pPr>
          </w:p>
        </w:tc>
        <w:tc>
          <w:tcPr>
            <w:tcW w:w="4700" w:type="dxa"/>
            <w:vAlign w:val="bottom"/>
            <w:gridSpan w:val="1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SONDER HOLDINGS INC. AND SUBSIDIARIES</w:t>
            </w: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820" w:type="dxa"/>
            <w:vAlign w:val="bottom"/>
            <w:gridSpan w:val="20"/>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STOCKHOLDERS’ DEFICIT (Unaudited)</w:t>
            </w: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700" w:type="dxa"/>
            <w:vAlign w:val="bottom"/>
            <w:gridSpan w:val="13"/>
          </w:tcPr>
          <w:p>
            <w:pPr>
              <w:jc w:val="center"/>
              <w:ind w:right="80"/>
              <w:spacing w:after="0"/>
              <w:rPr>
                <w:sz w:val="20"/>
                <w:szCs w:val="20"/>
                <w:color w:val="auto"/>
              </w:rPr>
            </w:pPr>
            <w:r>
              <w:rPr>
                <w:rFonts w:ascii="Times New Roman" w:cs="Times New Roman" w:eastAsia="Times New Roman" w:hAnsi="Times New Roman"/>
                <w:sz w:val="18"/>
                <w:szCs w:val="18"/>
                <w:color w:val="auto"/>
              </w:rPr>
              <w:t>Three and nine months ended September 30, 2024</w:t>
            </w: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60" w:type="dxa"/>
            <w:vAlign w:val="bottom"/>
            <w:gridSpan w:val="7"/>
          </w:tcPr>
          <w:p>
            <w:pPr>
              <w:jc w:val="center"/>
              <w:ind w:right="200"/>
              <w:spacing w:after="0"/>
              <w:rPr>
                <w:sz w:val="20"/>
                <w:szCs w:val="20"/>
                <w:color w:val="auto"/>
              </w:rPr>
            </w:pPr>
            <w:r>
              <w:rPr>
                <w:rFonts w:ascii="Times New Roman" w:cs="Times New Roman" w:eastAsia="Times New Roman" w:hAnsi="Times New Roman"/>
                <w:sz w:val="18"/>
                <w:szCs w:val="18"/>
                <w:i w:val="1"/>
                <w:iCs w:val="1"/>
                <w:color w:val="auto"/>
                <w:w w:val="99"/>
              </w:rPr>
              <w:t>(in thousands, except share data)</w:t>
            </w: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5"/>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5"/>
          </w:tcPr>
          <w:p>
            <w:pPr>
              <w:jc w:val="center"/>
              <w:ind w:right="80"/>
              <w:spacing w:after="0" w:line="169" w:lineRule="exact"/>
              <w:rPr>
                <w:sz w:val="20"/>
                <w:szCs w:val="20"/>
                <w:color w:val="auto"/>
              </w:rPr>
            </w:pPr>
            <w:r>
              <w:rPr>
                <w:rFonts w:ascii="Times New Roman" w:cs="Times New Roman" w:eastAsia="Times New Roman" w:hAnsi="Times New Roman"/>
                <w:sz w:val="18"/>
                <w:szCs w:val="18"/>
                <w:color w:val="auto"/>
                <w:w w:val="99"/>
              </w:rPr>
              <w:t>Post-Combination</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1800" w:type="dxa"/>
            <w:vAlign w:val="bottom"/>
            <w:gridSpan w:val="4"/>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Common Stock</w:t>
            </w:r>
          </w:p>
        </w:tc>
        <w:tc>
          <w:tcPr>
            <w:tcW w:w="80" w:type="dxa"/>
            <w:vAlign w:val="bottom"/>
            <w:vMerge w:val="restart"/>
          </w:tcPr>
          <w:p>
            <w:pPr>
              <w:spacing w:after="0"/>
              <w:rPr>
                <w:sz w:val="22"/>
                <w:szCs w:val="22"/>
                <w:color w:val="auto"/>
              </w:rPr>
            </w:pPr>
          </w:p>
        </w:tc>
        <w:tc>
          <w:tcPr>
            <w:tcW w:w="1860" w:type="dxa"/>
            <w:vAlign w:val="bottom"/>
            <w:gridSpan w:val="5"/>
          </w:tcPr>
          <w:p>
            <w:pPr>
              <w:jc w:val="center"/>
              <w:ind w:right="80"/>
              <w:spacing w:after="0"/>
              <w:rPr>
                <w:sz w:val="20"/>
                <w:szCs w:val="20"/>
                <w:color w:val="auto"/>
              </w:rPr>
            </w:pPr>
            <w:r>
              <w:rPr>
                <w:rFonts w:ascii="Times New Roman" w:cs="Times New Roman" w:eastAsia="Times New Roman" w:hAnsi="Times New Roman"/>
                <w:sz w:val="18"/>
                <w:szCs w:val="18"/>
                <w:color w:val="auto"/>
              </w:rPr>
              <w:t>Exchangeable Common</w:t>
            </w:r>
          </w:p>
        </w:tc>
        <w:tc>
          <w:tcPr>
            <w:tcW w:w="9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Additional</w:t>
            </w: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Accumulated</w:t>
            </w: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800" w:type="dxa"/>
            <w:vAlign w:val="bottom"/>
            <w:tcBorders>
              <w:bottom w:val="single" w:sz="8" w:color="auto"/>
            </w:tcBorders>
            <w:gridSpan w:val="4"/>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780" w:type="dxa"/>
            <w:vAlign w:val="bottom"/>
            <w:tcBorders>
              <w:bottom w:val="single" w:sz="8" w:color="auto"/>
            </w:tcBorders>
            <w:gridSpan w:val="4"/>
          </w:tcPr>
          <w:p>
            <w:pPr>
              <w:jc w:val="center"/>
              <w:spacing w:after="0" w:line="142" w:lineRule="exact"/>
              <w:rPr>
                <w:sz w:val="20"/>
                <w:szCs w:val="20"/>
                <w:color w:val="auto"/>
              </w:rPr>
            </w:pPr>
            <w:r>
              <w:rPr>
                <w:rFonts w:ascii="Times New Roman" w:cs="Times New Roman" w:eastAsia="Times New Roman" w:hAnsi="Times New Roman"/>
                <w:sz w:val="16"/>
                <w:szCs w:val="16"/>
                <w:color w:val="auto"/>
              </w:rPr>
              <w:t>Stock</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right="220"/>
              <w:spacing w:after="0" w:line="156" w:lineRule="exact"/>
              <w:rPr>
                <w:sz w:val="20"/>
                <w:szCs w:val="20"/>
                <w:color w:val="auto"/>
              </w:rPr>
            </w:pPr>
            <w:r>
              <w:rPr>
                <w:rFonts w:ascii="Times New Roman" w:cs="Times New Roman" w:eastAsia="Times New Roman" w:hAnsi="Times New Roman"/>
                <w:sz w:val="18"/>
                <w:szCs w:val="18"/>
                <w:color w:val="auto"/>
                <w:w w:val="99"/>
              </w:rPr>
              <w:t>Paid-in</w:t>
            </w:r>
          </w:p>
        </w:tc>
        <w:tc>
          <w:tcPr>
            <w:tcW w:w="1080" w:type="dxa"/>
            <w:vAlign w:val="bottom"/>
            <w:gridSpan w:val="3"/>
          </w:tcPr>
          <w:p>
            <w:pPr>
              <w:ind w:left="60"/>
              <w:spacing w:after="0" w:line="156" w:lineRule="exact"/>
              <w:rPr>
                <w:sz w:val="20"/>
                <w:szCs w:val="20"/>
                <w:color w:val="auto"/>
              </w:rPr>
            </w:pPr>
            <w:r>
              <w:rPr>
                <w:rFonts w:ascii="Times New Roman" w:cs="Times New Roman" w:eastAsia="Times New Roman" w:hAnsi="Times New Roman"/>
                <w:sz w:val="18"/>
                <w:szCs w:val="18"/>
                <w:color w:val="auto"/>
              </w:rPr>
              <w:t>Translation</w:t>
            </w:r>
          </w:p>
        </w:tc>
        <w:tc>
          <w:tcPr>
            <w:tcW w:w="1080" w:type="dxa"/>
            <w:vAlign w:val="bottom"/>
            <w:gridSpan w:val="3"/>
          </w:tcPr>
          <w:p>
            <w:pPr>
              <w:ind w:left="20"/>
              <w:spacing w:after="0" w:line="156" w:lineRule="exact"/>
              <w:rPr>
                <w:sz w:val="20"/>
                <w:szCs w:val="20"/>
                <w:color w:val="auto"/>
              </w:rPr>
            </w:pPr>
            <w:r>
              <w:rPr>
                <w:rFonts w:ascii="Times New Roman" w:cs="Times New Roman" w:eastAsia="Times New Roman" w:hAnsi="Times New Roman"/>
                <w:sz w:val="18"/>
                <w:szCs w:val="18"/>
                <w:color w:val="auto"/>
              </w:rPr>
              <w:t>Accumulated</w:t>
            </w:r>
          </w:p>
        </w:tc>
        <w:tc>
          <w:tcPr>
            <w:tcW w:w="104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8"/>
                <w:szCs w:val="18"/>
                <w:color w:val="auto"/>
                <w:w w:val="99"/>
              </w:rPr>
              <w:t>Stockholders’</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9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Shares</w:t>
            </w:r>
          </w:p>
        </w:tc>
        <w:tc>
          <w:tcPr>
            <w:tcW w:w="120" w:type="dxa"/>
            <w:vAlign w:val="bottom"/>
          </w:tcPr>
          <w:p>
            <w:pPr>
              <w:spacing w:after="0"/>
              <w:rPr>
                <w:sz w:val="20"/>
                <w:szCs w:val="20"/>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Amount</w:t>
            </w: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Shares</w:t>
            </w:r>
          </w:p>
        </w:tc>
        <w:tc>
          <w:tcPr>
            <w:tcW w:w="120" w:type="dxa"/>
            <w:vAlign w:val="bottom"/>
          </w:tcPr>
          <w:p>
            <w:pPr>
              <w:spacing w:after="0"/>
              <w:rPr>
                <w:sz w:val="20"/>
                <w:szCs w:val="20"/>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w:t>
            </w:r>
          </w:p>
        </w:tc>
        <w:tc>
          <w:tcPr>
            <w:tcW w:w="140" w:type="dxa"/>
            <w:vAlign w:val="bottom"/>
          </w:tcPr>
          <w:p>
            <w:pPr>
              <w:spacing w:after="0"/>
              <w:rPr>
                <w:sz w:val="20"/>
                <w:szCs w:val="20"/>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Capital</w:t>
            </w:r>
          </w:p>
        </w:tc>
        <w:tc>
          <w:tcPr>
            <w:tcW w:w="10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Adjustment</w:t>
            </w:r>
          </w:p>
        </w:tc>
        <w:tc>
          <w:tcPr>
            <w:tcW w:w="120" w:type="dxa"/>
            <w:vAlign w:val="bottom"/>
          </w:tcPr>
          <w:p>
            <w:pPr>
              <w:spacing w:after="0"/>
              <w:rPr>
                <w:sz w:val="20"/>
                <w:szCs w:val="20"/>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Deficit</w:t>
            </w:r>
          </w:p>
        </w:tc>
        <w:tc>
          <w:tcPr>
            <w:tcW w:w="180" w:type="dxa"/>
            <w:vAlign w:val="bottom"/>
          </w:tcPr>
          <w:p>
            <w:pPr>
              <w:spacing w:after="0"/>
              <w:rPr>
                <w:sz w:val="20"/>
                <w:szCs w:val="20"/>
                <w:color w:val="auto"/>
              </w:rPr>
            </w:pPr>
          </w:p>
        </w:tc>
        <w:tc>
          <w:tcPr>
            <w:tcW w:w="8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Deficit</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2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10,380,725</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712,982</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977,503</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4,976</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(1,359,181)</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(376,701)</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28,422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3,009</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Components of comprehensive loss:</w:t>
            </w: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(50,487)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(50,487)</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280" w:type="dxa"/>
            <w:vAlign w:val="bottom"/>
            <w:gridSpan w:val="2"/>
          </w:tcPr>
          <w:p>
            <w:pPr>
              <w:ind w:left="180"/>
              <w:spacing w:after="0" w:line="176" w:lineRule="exact"/>
              <w:rPr>
                <w:sz w:val="20"/>
                <w:szCs w:val="20"/>
                <w:color w:val="auto"/>
              </w:rPr>
            </w:pPr>
            <w:r>
              <w:rPr>
                <w:rFonts w:ascii="Times New Roman" w:cs="Times New Roman" w:eastAsia="Times New Roman" w:hAnsi="Times New Roman"/>
                <w:sz w:val="18"/>
                <w:szCs w:val="18"/>
                <w:color w:val="auto"/>
              </w:rPr>
              <w:t>Change in cumulative translation</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adjustment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2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10,409,147</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712,982</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980,512</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4,387</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(1,409,668)</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(424,768)</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Conversion of exchangeable stock</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161,910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(161,910)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delayed draw warrants</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3280" w:type="dxa"/>
            <w:vAlign w:val="bottom"/>
            <w:gridSpan w:val="2"/>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Components of comprehensive income</w:t>
            </w: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w:t>
            </w:r>
          </w:p>
        </w:tc>
        <w:tc>
          <w:tcPr>
            <w:tcW w:w="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32,747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32,747</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3280" w:type="dxa"/>
            <w:vAlign w:val="bottom"/>
            <w:gridSpan w:val="2"/>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Change in cumulative translation</w:t>
            </w: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June 30, 2024</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10,571,057</w:t>
            </w: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551,072</w:t>
            </w: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983,779</w:t>
            </w:r>
          </w:p>
        </w:tc>
        <w:tc>
          <w:tcPr>
            <w:tcW w:w="80" w:type="dxa"/>
            <w:vAlign w:val="bottom"/>
          </w:tcPr>
          <w:p>
            <w:pPr>
              <w:spacing w:after="0"/>
              <w:rPr>
                <w:sz w:val="19"/>
                <w:szCs w:val="19"/>
                <w:color w:val="auto"/>
              </w:rPr>
            </w:pPr>
          </w:p>
        </w:tc>
        <w:tc>
          <w:tcPr>
            <w:tcW w:w="2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5,782</w:t>
            </w:r>
          </w:p>
        </w:tc>
        <w:tc>
          <w:tcPr>
            <w:tcW w:w="80" w:type="dxa"/>
            <w:vAlign w:val="bottom"/>
          </w:tcPr>
          <w:p>
            <w:pPr>
              <w:spacing w:after="0"/>
              <w:rPr>
                <w:sz w:val="19"/>
                <w:szCs w:val="19"/>
                <w:color w:val="auto"/>
              </w:rPr>
            </w:pPr>
          </w:p>
        </w:tc>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(1,376,921)</w:t>
            </w:r>
          </w:p>
        </w:tc>
        <w:tc>
          <w:tcPr>
            <w:tcW w:w="80" w:type="dxa"/>
            <w:vAlign w:val="bottom"/>
          </w:tcPr>
          <w:p>
            <w:pPr>
              <w:spacing w:after="0"/>
              <w:rPr>
                <w:sz w:val="19"/>
                <w:szCs w:val="19"/>
                <w:color w:val="auto"/>
              </w:rPr>
            </w:pP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(387,359)</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3280" w:type="dxa"/>
            <w:vAlign w:val="bottom"/>
            <w:gridSpan w:val="2"/>
          </w:tcPr>
          <w:p>
            <w:pPr>
              <w:ind w:left="180"/>
              <w:spacing w:after="0" w:line="176" w:lineRule="exact"/>
              <w:rPr>
                <w:sz w:val="20"/>
                <w:szCs w:val="20"/>
                <w:color w:val="auto"/>
              </w:rPr>
            </w:pPr>
            <w:r>
              <w:rPr>
                <w:rFonts w:ascii="Times New Roman" w:cs="Times New Roman" w:eastAsia="Times New Roman" w:hAnsi="Times New Roman"/>
                <w:sz w:val="18"/>
                <w:szCs w:val="18"/>
                <w:color w:val="auto"/>
              </w:rPr>
              <w:t>Preferred stock accretion to redemption</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value</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(25,892)</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(25,892)</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3280" w:type="dxa"/>
            <w:vAlign w:val="bottom"/>
            <w:gridSpan w:val="2"/>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Common stock issuance for exercise of</w:t>
            </w: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473,458</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Components of comprehensive loss:</w:t>
            </w: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(179,391)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(179,391)</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3280" w:type="dxa"/>
            <w:vAlign w:val="bottom"/>
            <w:gridSpan w:val="2"/>
          </w:tcPr>
          <w:p>
            <w:pPr>
              <w:ind w:left="180"/>
              <w:spacing w:after="0" w:line="176" w:lineRule="exact"/>
              <w:rPr>
                <w:sz w:val="20"/>
                <w:szCs w:val="20"/>
                <w:color w:val="auto"/>
              </w:rPr>
            </w:pPr>
            <w:r>
              <w:rPr>
                <w:rFonts w:ascii="Times New Roman" w:cs="Times New Roman" w:eastAsia="Times New Roman" w:hAnsi="Times New Roman"/>
                <w:sz w:val="18"/>
                <w:szCs w:val="18"/>
                <w:color w:val="auto"/>
              </w:rPr>
              <w:t>Change in cumulative translation</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adjustment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(5,439)</w:t>
            </w: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32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11,044,515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551,072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959,501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(1,556,312)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(596,467)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SONDER HOLDINGS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DEFICIT (</w:t>
      </w:r>
      <w:r>
        <w:rPr>
          <w:rFonts w:ascii="Times New Roman" w:cs="Times New Roman" w:eastAsia="Times New Roman" w:hAnsi="Times New Roman"/>
          <w:sz w:val="18"/>
          <w:szCs w:val="18"/>
          <w:b w:val="1"/>
          <w:bCs w:val="1"/>
          <w:i w:val="1"/>
          <w:iCs w:val="1"/>
          <w:color w:val="auto"/>
        </w:rPr>
        <w:t>continued</w:t>
      </w:r>
      <w:r>
        <w:rPr>
          <w:rFonts w:ascii="Times New Roman" w:cs="Times New Roman" w:eastAsia="Times New Roman" w:hAnsi="Times New Roman"/>
          <w:sz w:val="18"/>
          <w:szCs w:val="18"/>
          <w:b w:val="1"/>
          <w:bCs w:val="1"/>
          <w:color w:val="auto"/>
        </w:rPr>
        <w:t>) (Unaudited)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Three and nine months ended September 30, 2023</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 thousands, except share data)</w:t>
      </w:r>
    </w:p>
    <w:p>
      <w:pPr>
        <w:spacing w:after="0" w:line="200" w:lineRule="exact"/>
        <w:rPr>
          <w:sz w:val="20"/>
          <w:szCs w:val="20"/>
          <w:color w:val="auto"/>
        </w:rPr>
      </w:pP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328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860" w:type="dxa"/>
            <w:vAlign w:val="bottom"/>
            <w:tcBorders>
              <w:top w:val="single" w:sz="8" w:color="auto"/>
            </w:tcBorders>
            <w:gridSpan w:val="5"/>
          </w:tcPr>
          <w:p>
            <w:pPr>
              <w:jc w:val="center"/>
              <w:ind w:right="80"/>
              <w:spacing w:after="0" w:line="189" w:lineRule="exact"/>
              <w:rPr>
                <w:sz w:val="20"/>
                <w:szCs w:val="20"/>
                <w:color w:val="auto"/>
              </w:rPr>
            </w:pPr>
            <w:r>
              <w:rPr>
                <w:rFonts w:ascii="Times New Roman" w:cs="Times New Roman" w:eastAsia="Times New Roman" w:hAnsi="Times New Roman"/>
                <w:sz w:val="18"/>
                <w:szCs w:val="18"/>
                <w:color w:val="auto"/>
                <w:w w:val="99"/>
              </w:rPr>
              <w:t>Post-Combination</w:t>
            </w:r>
          </w:p>
        </w:tc>
        <w:tc>
          <w:tcPr>
            <w:tcW w:w="1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w w:val="99"/>
              </w:rPr>
              <w:t>Total</w:t>
            </w:r>
          </w:p>
        </w:tc>
        <w:tc>
          <w:tcPr>
            <w:tcW w:w="0" w:type="dxa"/>
            <w:vAlign w:val="bottom"/>
          </w:tcPr>
          <w:p>
            <w:pPr>
              <w:spacing w:after="0"/>
              <w:rPr>
                <w:sz w:val="1"/>
                <w:szCs w:val="1"/>
                <w:color w:val="auto"/>
              </w:rPr>
            </w:pPr>
          </w:p>
        </w:tc>
      </w:tr>
      <w:tr>
        <w:trPr>
          <w:trHeight w:val="81"/>
        </w:trPr>
        <w:tc>
          <w:tcPr>
            <w:tcW w:w="3280" w:type="dxa"/>
            <w:vAlign w:val="bottom"/>
          </w:tcPr>
          <w:p>
            <w:pPr>
              <w:spacing w:after="0"/>
              <w:rPr>
                <w:sz w:val="7"/>
                <w:szCs w:val="7"/>
                <w:color w:val="auto"/>
              </w:rPr>
            </w:pP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60" w:type="dxa"/>
            <w:vAlign w:val="bottom"/>
            <w:gridSpan w:val="5"/>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rPr>
              <w:t>Exchangeable Common</w:t>
            </w:r>
          </w:p>
        </w:tc>
        <w:tc>
          <w:tcPr>
            <w:tcW w:w="96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8"/>
                <w:szCs w:val="18"/>
                <w:color w:val="auto"/>
              </w:rPr>
              <w:t>Additional</w:t>
            </w:r>
          </w:p>
        </w:tc>
        <w:tc>
          <w:tcPr>
            <w:tcW w:w="108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Accumulated</w:t>
            </w:r>
          </w:p>
        </w:tc>
        <w:tc>
          <w:tcPr>
            <w:tcW w:w="100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3280" w:type="dxa"/>
            <w:vAlign w:val="bottom"/>
          </w:tcPr>
          <w:p>
            <w:pPr>
              <w:spacing w:after="0"/>
              <w:rPr>
                <w:sz w:val="15"/>
                <w:szCs w:val="15"/>
                <w:color w:val="auto"/>
              </w:rPr>
            </w:pPr>
          </w:p>
        </w:tc>
        <w:tc>
          <w:tcPr>
            <w:tcW w:w="1820" w:type="dxa"/>
            <w:vAlign w:val="bottom"/>
            <w:gridSpan w:val="4"/>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Common Stock</w:t>
            </w:r>
          </w:p>
        </w:tc>
        <w:tc>
          <w:tcPr>
            <w:tcW w:w="80" w:type="dxa"/>
            <w:vAlign w:val="bottom"/>
            <w:vMerge w:val="restart"/>
          </w:tcPr>
          <w:p>
            <w:pPr>
              <w:spacing w:after="0"/>
              <w:rPr>
                <w:sz w:val="15"/>
                <w:szCs w:val="15"/>
                <w:color w:val="auto"/>
              </w:rPr>
            </w:pPr>
          </w:p>
        </w:tc>
        <w:tc>
          <w:tcPr>
            <w:tcW w:w="1860" w:type="dxa"/>
            <w:vAlign w:val="bottom"/>
            <w:gridSpan w:val="5"/>
            <w:vMerge w:val="continue"/>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1080" w:type="dxa"/>
            <w:vAlign w:val="bottom"/>
            <w:gridSpan w:val="3"/>
            <w:vMerge w:val="continue"/>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w w:val="99"/>
              </w:rPr>
              <w:t>Stockholders’</w:t>
            </w:r>
          </w:p>
        </w:tc>
        <w:tc>
          <w:tcPr>
            <w:tcW w:w="0" w:type="dxa"/>
            <w:vAlign w:val="bottom"/>
          </w:tcPr>
          <w:p>
            <w:pPr>
              <w:spacing w:after="0"/>
              <w:rPr>
                <w:sz w:val="1"/>
                <w:szCs w:val="1"/>
                <w:color w:val="auto"/>
              </w:rPr>
            </w:pPr>
          </w:p>
        </w:tc>
      </w:tr>
      <w:tr>
        <w:trPr>
          <w:trHeight w:val="162"/>
        </w:trPr>
        <w:tc>
          <w:tcPr>
            <w:tcW w:w="3280" w:type="dxa"/>
            <w:vAlign w:val="bottom"/>
          </w:tcPr>
          <w:p>
            <w:pPr>
              <w:spacing w:after="0"/>
              <w:rPr>
                <w:sz w:val="14"/>
                <w:szCs w:val="14"/>
                <w:color w:val="auto"/>
              </w:rPr>
            </w:pPr>
          </w:p>
        </w:tc>
        <w:tc>
          <w:tcPr>
            <w:tcW w:w="1820" w:type="dxa"/>
            <w:vAlign w:val="bottom"/>
            <w:tcBorders>
              <w:bottom w:val="single" w:sz="8" w:color="auto"/>
            </w:tcBorders>
            <w:gridSpan w:val="4"/>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780" w:type="dxa"/>
            <w:vAlign w:val="bottom"/>
            <w:tcBorders>
              <w:bottom w:val="single" w:sz="8" w:color="auto"/>
            </w:tcBorders>
            <w:gridSpan w:val="4"/>
          </w:tcPr>
          <w:p>
            <w:pPr>
              <w:jc w:val="center"/>
              <w:spacing w:after="0" w:line="142" w:lineRule="exact"/>
              <w:rPr>
                <w:sz w:val="20"/>
                <w:szCs w:val="20"/>
                <w:color w:val="auto"/>
              </w:rPr>
            </w:pPr>
            <w:r>
              <w:rPr>
                <w:rFonts w:ascii="Times New Roman" w:cs="Times New Roman" w:eastAsia="Times New Roman" w:hAnsi="Times New Roman"/>
                <w:sz w:val="16"/>
                <w:szCs w:val="16"/>
                <w:color w:val="auto"/>
              </w:rPr>
              <w:t>Stock</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8"/>
                <w:szCs w:val="18"/>
                <w:color w:val="auto"/>
                <w:w w:val="99"/>
              </w:rPr>
              <w:t>Paid-in</w:t>
            </w:r>
          </w:p>
        </w:tc>
        <w:tc>
          <w:tcPr>
            <w:tcW w:w="1080" w:type="dxa"/>
            <w:vAlign w:val="bottom"/>
            <w:gridSpan w:val="3"/>
          </w:tcPr>
          <w:p>
            <w:pPr>
              <w:ind w:left="80"/>
              <w:spacing w:after="0" w:line="162" w:lineRule="exact"/>
              <w:rPr>
                <w:sz w:val="20"/>
                <w:szCs w:val="20"/>
                <w:color w:val="auto"/>
              </w:rPr>
            </w:pPr>
            <w:r>
              <w:rPr>
                <w:rFonts w:ascii="Times New Roman" w:cs="Times New Roman" w:eastAsia="Times New Roman" w:hAnsi="Times New Roman"/>
                <w:sz w:val="18"/>
                <w:szCs w:val="18"/>
                <w:color w:val="auto"/>
              </w:rPr>
              <w:t>Translation</w:t>
            </w:r>
          </w:p>
        </w:tc>
        <w:tc>
          <w:tcPr>
            <w:tcW w:w="108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8"/>
                <w:szCs w:val="18"/>
                <w:color w:val="auto"/>
              </w:rPr>
              <w:t>Accumulated</w:t>
            </w:r>
          </w:p>
        </w:tc>
        <w:tc>
          <w:tcPr>
            <w:tcW w:w="160" w:type="dxa"/>
            <w:vAlign w:val="bottom"/>
          </w:tcPr>
          <w:p>
            <w:pPr>
              <w:spacing w:after="0"/>
              <w:rPr>
                <w:sz w:val="14"/>
                <w:szCs w:val="14"/>
                <w:color w:val="auto"/>
              </w:rPr>
            </w:pPr>
          </w:p>
        </w:tc>
        <w:tc>
          <w:tcPr>
            <w:tcW w:w="880" w:type="dxa"/>
            <w:vAlign w:val="bottom"/>
          </w:tcPr>
          <w:p>
            <w:pPr>
              <w:jc w:val="center"/>
              <w:ind w:right="70"/>
              <w:spacing w:after="0" w:line="162" w:lineRule="exact"/>
              <w:rPr>
                <w:sz w:val="20"/>
                <w:szCs w:val="20"/>
                <w:color w:val="auto"/>
              </w:rPr>
            </w:pPr>
            <w:r>
              <w:rPr>
                <w:rFonts w:ascii="Times New Roman" w:cs="Times New Roman" w:eastAsia="Times New Roman" w:hAnsi="Times New Roman"/>
                <w:sz w:val="18"/>
                <w:szCs w:val="18"/>
                <w:color w:val="auto"/>
                <w:w w:val="99"/>
              </w:rPr>
              <w:t>Equity</w:t>
            </w:r>
          </w:p>
        </w:tc>
        <w:tc>
          <w:tcPr>
            <w:tcW w:w="0" w:type="dxa"/>
            <w:vAlign w:val="bottom"/>
          </w:tcPr>
          <w:p>
            <w:pPr>
              <w:spacing w:after="0"/>
              <w:rPr>
                <w:sz w:val="1"/>
                <w:szCs w:val="1"/>
                <w:color w:val="auto"/>
              </w:rPr>
            </w:pPr>
          </w:p>
        </w:tc>
      </w:tr>
      <w:tr>
        <w:trPr>
          <w:trHeight w:val="236"/>
        </w:trPr>
        <w:tc>
          <w:tcPr>
            <w:tcW w:w="3280" w:type="dxa"/>
            <w:vAlign w:val="bottom"/>
          </w:tcPr>
          <w:p>
            <w:pPr>
              <w:spacing w:after="0"/>
              <w:rPr>
                <w:sz w:val="20"/>
                <w:szCs w:val="20"/>
                <w:color w:val="auto"/>
              </w:rPr>
            </w:pPr>
          </w:p>
        </w:tc>
        <w:tc>
          <w:tcPr>
            <w:tcW w:w="9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Shares</w:t>
            </w:r>
          </w:p>
        </w:tc>
        <w:tc>
          <w:tcPr>
            <w:tcW w:w="100" w:type="dxa"/>
            <w:vAlign w:val="bottom"/>
          </w:tcPr>
          <w:p>
            <w:pPr>
              <w:spacing w:after="0"/>
              <w:rPr>
                <w:sz w:val="20"/>
                <w:szCs w:val="20"/>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Amount</w:t>
            </w:r>
          </w:p>
        </w:tc>
        <w:tc>
          <w:tcPr>
            <w:tcW w:w="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Shares</w:t>
            </w:r>
          </w:p>
        </w:tc>
        <w:tc>
          <w:tcPr>
            <w:tcW w:w="120" w:type="dxa"/>
            <w:vAlign w:val="bottom"/>
          </w:tcPr>
          <w:p>
            <w:pPr>
              <w:spacing w:after="0"/>
              <w:rPr>
                <w:sz w:val="20"/>
                <w:szCs w:val="20"/>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Amount</w:t>
            </w:r>
          </w:p>
        </w:tc>
        <w:tc>
          <w:tcPr>
            <w:tcW w:w="160" w:type="dxa"/>
            <w:vAlign w:val="bottom"/>
          </w:tcPr>
          <w:p>
            <w:pPr>
              <w:spacing w:after="0"/>
              <w:rPr>
                <w:sz w:val="20"/>
                <w:szCs w:val="20"/>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Capital</w:t>
            </w:r>
          </w:p>
        </w:tc>
        <w:tc>
          <w:tcPr>
            <w:tcW w:w="10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Adjustment</w:t>
            </w:r>
          </w:p>
        </w:tc>
        <w:tc>
          <w:tcPr>
            <w:tcW w:w="10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Deficit</w:t>
            </w:r>
          </w:p>
        </w:tc>
        <w:tc>
          <w:tcPr>
            <w:tcW w:w="160" w:type="dxa"/>
            <w:vAlign w:val="bottom"/>
          </w:tcPr>
          <w:p>
            <w:pPr>
              <w:spacing w:after="0"/>
              <w:rPr>
                <w:sz w:val="20"/>
                <w:szCs w:val="20"/>
                <w:color w:val="auto"/>
              </w:rPr>
            </w:pPr>
          </w:p>
        </w:tc>
        <w:tc>
          <w:tcPr>
            <w:tcW w:w="8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(Deficit)</w:t>
            </w:r>
          </w:p>
        </w:tc>
        <w:tc>
          <w:tcPr>
            <w:tcW w:w="0" w:type="dxa"/>
            <w:vAlign w:val="bottom"/>
          </w:tcPr>
          <w:p>
            <w:pPr>
              <w:spacing w:after="0"/>
              <w:rPr>
                <w:sz w:val="1"/>
                <w:szCs w:val="1"/>
                <w:color w:val="auto"/>
              </w:rPr>
            </w:pPr>
          </w:p>
        </w:tc>
      </w:tr>
      <w:tr>
        <w:trPr>
          <w:trHeight w:val="223"/>
        </w:trPr>
        <w:tc>
          <w:tcPr>
            <w:tcW w:w="3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9,919,716</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1,019,460</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949,001</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13,026</w:t>
            </w:r>
          </w:p>
        </w:tc>
        <w:tc>
          <w:tcPr>
            <w:tcW w:w="8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(1,063,513)</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(101,485)</w:t>
            </w:r>
          </w:p>
        </w:tc>
        <w:tc>
          <w:tcPr>
            <w:tcW w:w="0" w:type="dxa"/>
            <w:vAlign w:val="bottom"/>
          </w:tcPr>
          <w:p>
            <w:pPr>
              <w:spacing w:after="0"/>
              <w:rPr>
                <w:sz w:val="1"/>
                <w:szCs w:val="1"/>
                <w:color w:val="auto"/>
              </w:rPr>
            </w:pPr>
          </w:p>
        </w:tc>
      </w:tr>
      <w:tr>
        <w:trPr>
          <w:trHeight w:val="229"/>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 of common stock options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Vesting of restricted stock options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Conversion of exchangeable stock</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46,525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(46,525)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10,800</w:t>
            </w:r>
          </w:p>
        </w:tc>
        <w:tc>
          <w:tcPr>
            <w:tcW w:w="0" w:type="dxa"/>
            <w:vAlign w:val="bottom"/>
          </w:tcPr>
          <w:p>
            <w:pPr>
              <w:spacing w:after="0"/>
              <w:rPr>
                <w:sz w:val="1"/>
                <w:szCs w:val="1"/>
                <w:color w:val="auto"/>
              </w:rPr>
            </w:pPr>
          </w:p>
        </w:tc>
      </w:tr>
      <w:tr>
        <w:trPr>
          <w:trHeight w:val="230"/>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Components of comprehensive loss:</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(81,865)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(81,865)</w:t>
            </w:r>
          </w:p>
        </w:tc>
        <w:tc>
          <w:tcPr>
            <w:tcW w:w="0" w:type="dxa"/>
            <w:vAlign w:val="bottom"/>
          </w:tcPr>
          <w:p>
            <w:pPr>
              <w:spacing w:after="0"/>
              <w:rPr>
                <w:sz w:val="1"/>
                <w:szCs w:val="1"/>
                <w:color w:val="auto"/>
              </w:rPr>
            </w:pPr>
          </w:p>
        </w:tc>
      </w:tr>
      <w:tr>
        <w:trPr>
          <w:trHeight w:val="176"/>
        </w:trPr>
        <w:tc>
          <w:tcPr>
            <w:tcW w:w="328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Change in cumulative translation</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(3,413)</w:t>
            </w:r>
          </w:p>
        </w:tc>
        <w:tc>
          <w:tcPr>
            <w:tcW w:w="80" w:type="dxa"/>
            <w:vAlign w:val="bottom"/>
          </w:tcPr>
          <w:p>
            <w:pPr>
              <w:spacing w:after="0"/>
              <w:rPr>
                <w:sz w:val="21"/>
                <w:szCs w:val="21"/>
                <w:color w:val="auto"/>
              </w:rPr>
            </w:pP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(3,413)</w:t>
            </w:r>
          </w:p>
        </w:tc>
        <w:tc>
          <w:tcPr>
            <w:tcW w:w="0" w:type="dxa"/>
            <w:vAlign w:val="bottom"/>
          </w:tcPr>
          <w:p>
            <w:pPr>
              <w:spacing w:after="0"/>
              <w:rPr>
                <w:sz w:val="1"/>
                <w:szCs w:val="1"/>
                <w:color w:val="auto"/>
              </w:rPr>
            </w:pPr>
          </w:p>
        </w:tc>
      </w:tr>
      <w:tr>
        <w:trPr>
          <w:trHeight w:val="223"/>
        </w:trPr>
        <w:tc>
          <w:tcPr>
            <w:tcW w:w="3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2023</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9,992,484</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972,935</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959,809</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9,613</w:t>
            </w:r>
          </w:p>
        </w:tc>
        <w:tc>
          <w:tcPr>
            <w:tcW w:w="8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(1,145,378)</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(175,955)</w:t>
            </w:r>
          </w:p>
        </w:tc>
        <w:tc>
          <w:tcPr>
            <w:tcW w:w="0" w:type="dxa"/>
            <w:vAlign w:val="bottom"/>
          </w:tcPr>
          <w:p>
            <w:pPr>
              <w:spacing w:after="0"/>
              <w:rPr>
                <w:sz w:val="1"/>
                <w:szCs w:val="1"/>
                <w:color w:val="auto"/>
              </w:rPr>
            </w:pPr>
          </w:p>
        </w:tc>
      </w:tr>
      <w:tr>
        <w:trPr>
          <w:trHeight w:val="229"/>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 of common stock options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48,606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Conversion of exchangeable stock</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8,258</w:t>
            </w:r>
          </w:p>
        </w:tc>
        <w:tc>
          <w:tcPr>
            <w:tcW w:w="0" w:type="dxa"/>
            <w:vAlign w:val="bottom"/>
          </w:tcPr>
          <w:p>
            <w:pPr>
              <w:spacing w:after="0"/>
              <w:rPr>
                <w:sz w:val="1"/>
                <w:szCs w:val="1"/>
                <w:color w:val="auto"/>
              </w:rPr>
            </w:pPr>
          </w:p>
        </w:tc>
      </w:tr>
      <w:tr>
        <w:trPr>
          <w:trHeight w:val="230"/>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Components of comprehensive loss:</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(44,184)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(44,184)</w:t>
            </w:r>
          </w:p>
        </w:tc>
        <w:tc>
          <w:tcPr>
            <w:tcW w:w="0" w:type="dxa"/>
            <w:vAlign w:val="bottom"/>
          </w:tcPr>
          <w:p>
            <w:pPr>
              <w:spacing w:after="0"/>
              <w:rPr>
                <w:sz w:val="1"/>
                <w:szCs w:val="1"/>
                <w:color w:val="auto"/>
              </w:rPr>
            </w:pPr>
          </w:p>
        </w:tc>
      </w:tr>
      <w:tr>
        <w:trPr>
          <w:trHeight w:val="176"/>
        </w:trPr>
        <w:tc>
          <w:tcPr>
            <w:tcW w:w="328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Change in cumulative translation</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(3,381)</w:t>
            </w:r>
          </w:p>
        </w:tc>
        <w:tc>
          <w:tcPr>
            <w:tcW w:w="80" w:type="dxa"/>
            <w:vAlign w:val="bottom"/>
          </w:tcPr>
          <w:p>
            <w:pPr>
              <w:spacing w:after="0"/>
              <w:rPr>
                <w:sz w:val="21"/>
                <w:szCs w:val="21"/>
                <w:color w:val="auto"/>
              </w:rPr>
            </w:pP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(3,381)</w:t>
            </w:r>
          </w:p>
        </w:tc>
        <w:tc>
          <w:tcPr>
            <w:tcW w:w="0" w:type="dxa"/>
            <w:vAlign w:val="bottom"/>
          </w:tcPr>
          <w:p>
            <w:pPr>
              <w:spacing w:after="0"/>
              <w:rPr>
                <w:sz w:val="1"/>
                <w:szCs w:val="1"/>
                <w:color w:val="auto"/>
              </w:rPr>
            </w:pPr>
          </w:p>
        </w:tc>
      </w:tr>
      <w:tr>
        <w:trPr>
          <w:trHeight w:val="223"/>
        </w:trPr>
        <w:tc>
          <w:tcPr>
            <w:tcW w:w="3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2023</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10,050,988</w:t>
            </w: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963,043</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968,067</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6,232</w:t>
            </w:r>
          </w:p>
        </w:tc>
        <w:tc>
          <w:tcPr>
            <w:tcW w:w="8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(1,189,562)</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(215,262)</w:t>
            </w:r>
          </w:p>
        </w:tc>
        <w:tc>
          <w:tcPr>
            <w:tcW w:w="0" w:type="dxa"/>
            <w:vAlign w:val="bottom"/>
          </w:tcPr>
          <w:p>
            <w:pPr>
              <w:spacing w:after="0"/>
              <w:rPr>
                <w:sz w:val="1"/>
                <w:szCs w:val="1"/>
                <w:color w:val="auto"/>
              </w:rPr>
            </w:pPr>
          </w:p>
        </w:tc>
      </w:tr>
      <w:tr>
        <w:trPr>
          <w:trHeight w:val="230"/>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4,924</w:t>
            </w:r>
          </w:p>
        </w:tc>
        <w:tc>
          <w:tcPr>
            <w:tcW w:w="0" w:type="dxa"/>
            <w:vAlign w:val="bottom"/>
          </w:tcPr>
          <w:p>
            <w:pPr>
              <w:spacing w:after="0"/>
              <w:rPr>
                <w:sz w:val="1"/>
                <w:szCs w:val="1"/>
                <w:color w:val="auto"/>
              </w:rPr>
            </w:pPr>
          </w:p>
        </w:tc>
      </w:tr>
      <w:tr>
        <w:trPr>
          <w:trHeight w:val="230"/>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Components of comprehensive loss:</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(57,630)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(57,630)</w:t>
            </w:r>
          </w:p>
        </w:tc>
        <w:tc>
          <w:tcPr>
            <w:tcW w:w="0" w:type="dxa"/>
            <w:vAlign w:val="bottom"/>
          </w:tcPr>
          <w:p>
            <w:pPr>
              <w:spacing w:after="0"/>
              <w:rPr>
                <w:sz w:val="1"/>
                <w:szCs w:val="1"/>
                <w:color w:val="auto"/>
              </w:rPr>
            </w:pPr>
          </w:p>
        </w:tc>
      </w:tr>
      <w:tr>
        <w:trPr>
          <w:trHeight w:val="175"/>
        </w:trPr>
        <w:tc>
          <w:tcPr>
            <w:tcW w:w="328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Change in cumulative translation</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3,547</w:t>
            </w:r>
          </w:p>
        </w:tc>
        <w:tc>
          <w:tcPr>
            <w:tcW w:w="80" w:type="dxa"/>
            <w:vAlign w:val="bottom"/>
          </w:tcPr>
          <w:p>
            <w:pPr>
              <w:spacing w:after="0"/>
              <w:rPr>
                <w:sz w:val="21"/>
                <w:szCs w:val="21"/>
                <w:color w:val="auto"/>
              </w:rPr>
            </w:pP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3,547</w:t>
            </w:r>
          </w:p>
        </w:tc>
        <w:tc>
          <w:tcPr>
            <w:tcW w:w="0" w:type="dxa"/>
            <w:vAlign w:val="bottom"/>
          </w:tcPr>
          <w:p>
            <w:pPr>
              <w:spacing w:after="0"/>
              <w:rPr>
                <w:sz w:val="1"/>
                <w:szCs w:val="1"/>
                <w:color w:val="auto"/>
              </w:rPr>
            </w:pPr>
          </w:p>
        </w:tc>
      </w:tr>
      <w:tr>
        <w:trPr>
          <w:trHeight w:val="248"/>
        </w:trPr>
        <w:tc>
          <w:tcPr>
            <w:tcW w:w="3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2023</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10,053,462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963,043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972,991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(1,247,192)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(264,421)</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SONDER HOLDINGS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w:t>
      </w:r>
      <w:r>
        <w:rPr>
          <w:rFonts w:ascii="Times New Roman" w:cs="Times New Roman" w:eastAsia="Times New Roman" w:hAnsi="Times New Roman"/>
          <w:sz w:val="18"/>
          <w:szCs w:val="18"/>
          <w:color w:val="auto"/>
        </w:rPr>
        <w:t>(Unaudited)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Basis of Presentation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Nature of Operations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Sonder Holdings Inc. (collectively with its wholly owned subsidiaries, the “Company”) provides short and long-term accommodations to travelers in various cities across North America, Europe, and the Middle East. The units in each apartment-style building and each hotel property are selected, designed, and managed directly by the Company.</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On January 18, 2022, the Company consummated the previously announced business combination (the “Business Combination”) by and among Gores Metropoulos II, Inc. (“GMII”), two subsidiaries of GMII, and Sonder Operating Inc., a Delaware corporation formerly known as Sonder Holdings Inc. (“Legacy Sonder”) through a merger agreement (the “Merger Agreement”). Refer to Note 16, </w:t>
      </w:r>
      <w:r>
        <w:rPr>
          <w:rFonts w:ascii="Times New Roman" w:cs="Times New Roman" w:eastAsia="Times New Roman" w:hAnsi="Times New Roman"/>
          <w:sz w:val="18"/>
          <w:szCs w:val="18"/>
          <w:i w:val="1"/>
          <w:iCs w:val="1"/>
          <w:color w:val="auto"/>
        </w:rPr>
        <w:t>Business Combination</w:t>
      </w:r>
      <w:r>
        <w:rPr>
          <w:rFonts w:ascii="Times New Roman" w:cs="Times New Roman" w:eastAsia="Times New Roman" w:hAnsi="Times New Roman"/>
          <w:sz w:val="18"/>
          <w:szCs w:val="18"/>
          <w:color w:val="auto"/>
        </w:rPr>
        <w:t>, of the Company’s Annual Report on Form 10-K for the fiscal year ended December 31, 2023 (the “Annual Report”) for details of the transaction.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Going Concern</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are prepared in accordance with general accepted accounting principles applicable to a going concern, which contemplates the realization of assets and the satisfaction of liabilities in the normal course of business. The Company has a history of net losses and negative operating cash flows and expects to continue to incur additional losses in the future. The Company’s liquidity may be insufficient to meet its obligations for at least one year from the date of issuance of these financial statements, which raises substantial doubt about the Company’s ability to continue as a going concern.</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management has concluded that there is substantial doubt, which is not alleviated, about the Company’s ability to continue as a going concern for at least one year from the date of issuance of these financial statements.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Management’s plans to address these conditions include: i) meeting the requirements and milestones described herein, to obtain additional funds through recent arrangements, including $15 million from the Marriott Agreement, ii) realizing improved operations, including anticipated improvements from integration through the Marriott Agreement, iii) renegotiating lease terms, including possible terminations, of certain properties, iv) completing the issuance and sale of approximately 28.6 million shares (the “Second Tranche”) of Series A Preferred Stock for cash consideration of approximately $28.6 million, and v) implementing cost-cutting initiatives. On November 21, 2024, the Company received $7.5 million of the referenced $15 million from the Marriott Agreement. Also in November 2024, the Company completed the sale and issuance of the Second Tranche of Series A Preferred Stock.</w:t>
      </w:r>
    </w:p>
    <w:p>
      <w:pPr>
        <w:spacing w:after="0" w:line="21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can be no assurances of the Company’s ability to realize these plans. As a result, these conditions raise substantial doubt about the Company’s ability to continue as a going concern for at least one year from the date of issuance of these financial statements.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Financial Statement Presentation and Principles of Consolidation</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in conformity with accounting principles generally accepted in the United States of America (“GAAP”, “U.S. GAAP”, or “generally accepted accounting principles”). The condensed consolidated financial statements present the results of operations, financial position, and cash flows of the Company in accordance with consolidation accounting guidance. All intercompany balances and transactions have been eliminated in consolidation. In the opinion of management, the accompanying unaudited condensed consolidated financial statements contain all adjustments, including normal recurring adjustments, necessary to present fairly the Company’s financial position at September 30, 2024 and December 31, 2023, results of operations and comprehensive income (loss) and stockholders’ deficit for the three and nine months ended September 30, 2024 and 2023, and cash flows for the nine months ended September 30, 2024 and 2023. The Company’s condensed consolidated results of operations and comprehensive income (loss) and stockholders’ deficit for the three and nine months ended September 30, 2024 and cash flows for the nine months ended September 30, 2024 are not necessarily indicative of the results to be expected for the full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qualifies as an emerging growth company as defined in the Jumpstart Our Business Startups Act of 2012, and as a “smaller reporting company” as defined in Rule 12b-2 under the Securities Exchange Act of 1934 (the “Exchange Act”), and, as such, may take advantage of specified reduced reporting requirements and deferred accounting standards adoption dates, and is relieved of other significant requirements that are otherwise generally applicable to other public companies.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Marriott License Agreement</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13, 2024, the Company entered into a license agreement (the “Marriott Agreement”) with Marriott International, Inc. and Global Hospitality Licensing S.A R.L (together “Marriott”) whereby the Company’s portfolio of properties is expected to join the Marriott system under a newly-created collection called “Sonder by Marriott Bonvoy.” Under the Marriott Agreement, the Company’s properties will become available for booking on Marriott’s digital platforms, including Marriott.com and the Marriott Bonvoy mobile app, and the Company will also gain access to Marriott’s global sales and marketing capabilities and distribution platform.</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initial term of the Marriott Agreement will expire 20 years after the Initial Onboarding Date (as defined in the Marriott Agreement), which is the date upon which the Company’s properties are integrated into the Marriott platform and systems, and is expected to be in the first quarter of 2025. The Marriott Agreement provides for extensions for two consecutive five-year renewal terms and includes other rights and provisions related to the term of the agreement.</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must comply with certain Marriott standards, including, among others, those related to data privacy, cyber security, fire protection and life safety, third-party distributions and use of intellectual property, and customary franchise terms, conditions and requirements, but our properties will otherwise generally follow the Company’s design, maintenance, renovation, and operating standards.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consideration of the services and the license provided to the Company by Marriott, beginning on the Initial Onboarding Date, the Company will pay Marriott a royalty fee that increases over the first few years, up to a specified maximum, and various other fees, charges, and costs. The Company and Marriott will each pay its own technology and systems integration and launch costs.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Subject to the Company providing Marriott with reasonably satisfactory evidence that the Company has funded the Holistic Capital Solution (as defined in the Marriott Agreement) and there being no monetary, bankruptcy related or exclusivity default by the Company under the Marriott Agreement, Marriott will provide the Company with $15 million of Key Money (as defined in the Marriott Agreement) in two tranches by March 31, 2025. The Company received $7.5 million of Key Money on November 21, 2024. If the Marriott Agreement is terminated for any reason, the Company must reimburse Marriott, before the effective date of the termination, the Unamortized Key Money (as defined in the Marriott Agreement).</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first two years of the Marriott Agreement term, Marriott has agreed not to open any properties pursuant to an agreement for a Platform Transaction (as defined in the Marriott Agreement) with certain specified Company competitors, subject to certain exclusions. For the duration of the term, subject to standard terms and processes, Marriott has agreed that it will designate the Company as an approved operator for the Apartments by Marriott Bonvoy brand worldwide. Also for the duration of the term, the Company has agreed not to open any hotel, resort, other similar transient lodging product, including serviced-apartment hotels and lodging products that are structured as a “condominium hotel project”, unless the Company first proposes that it be included under the Marriott Agreement and Marriott confirms it is restricted from being included, in which case, the exclusivity will not apply so long as any third-party that the Company contracts with regarding such opening is not a Marriott Competitor (as defined in the Marriott Agreement).</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Following the five year anniversary of the Marriott Agreement, the Company and Marriott will each have the right to terminate the agreement upon notice to the other party and payment of a termination fee and unamortized key money upon any transfer (or series of transfers) of: (i) 50% of more of the direct or indirect ownership interests in the Company to any Non-Controlled Person (as defined in the Marriott Agreement); (ii) 50% or more of the Company’s direct or indirect ownership interests in all of the Properties to any Non-Controlled Person; or (iii) the right to control the day-to-day management or operations of the Company or each Company party that owns, leases or operates a Property to any Non-Controlled Person.</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Risk</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primarily of cash and cash equivalents. The Company manages the credit risk associated with cash and cash equivalents by investing in lower risk money market funds and by maintaining operating accounts that are diversified among various institutions with good credit quality. The Company maintains cash accounts that, at times, exceed federally insured limits. The Company has not experienced any losses from maintaining cash accounts in excess of such limits. Management believes that the Company is not exposed to any significant risks on its cash and cash equivalent accounts.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preparation of consolidated financial statements in accordance with U.S. GAAP requires management to make estimates and assumptions that affect the reported amounts of assets and liabilities and disclosure of contingent assets and liabilities at the date of the condensed consolidated financial statements, and the reported amounts of revenue and expense during the reporting periods. Examples of management’s estimates and assumptions include, but are not limited to, the fair value of share-based awards, estimated useful life of long-lived assets, bad-debt allowances, valuation of intellectual property and intangible assets, contingent liabilities, valuation allowance for deferred tax assets, ROU asset impairment valuation of the preferred stock issuance and valuation of non-routine complex transactions, such as recognition of the Earn Out Liability, SPAC Warrants (each as defined below) and forward contracts, among others. These estimates are based on information available as of the date of the condensed consolidated financial statements; therefore, actual results could differ from those estimates.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7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Supplemental Cash Flow Information</w:t>
            </w: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59"/>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shows supplemental cash flow information (in thousands):</w:t>
            </w: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99"/>
        </w:trPr>
        <w:tc>
          <w:tcPr>
            <w:tcW w:w="77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4"/>
          </w:tcPr>
          <w:p>
            <w:pPr>
              <w:jc w:val="right"/>
              <w:ind w:right="410"/>
              <w:spacing w:after="0"/>
              <w:rPr>
                <w:sz w:val="20"/>
                <w:szCs w:val="20"/>
                <w:color w:val="auto"/>
              </w:rPr>
            </w:pPr>
            <w:r>
              <w:rPr>
                <w:rFonts w:ascii="Times New Roman" w:cs="Times New Roman" w:eastAsia="Times New Roman" w:hAnsi="Times New Roman"/>
                <w:sz w:val="18"/>
                <w:szCs w:val="18"/>
                <w:color w:val="auto"/>
              </w:rPr>
              <w:t>Nine months ended September 30,</w:t>
            </w:r>
          </w:p>
        </w:tc>
      </w:tr>
      <w:tr>
        <w:trPr>
          <w:trHeight w:val="223"/>
        </w:trPr>
        <w:tc>
          <w:tcPr>
            <w:tcW w:w="77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2023</w:t>
            </w:r>
          </w:p>
        </w:tc>
      </w:tr>
      <w:tr>
        <w:trPr>
          <w:trHeight w:val="20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3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30"/>
        </w:trPr>
        <w:tc>
          <w:tcPr>
            <w:tcW w:w="7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r>
      <w:tr>
        <w:trPr>
          <w:trHeight w:val="230"/>
        </w:trPr>
        <w:tc>
          <w:tcPr>
            <w:tcW w:w="7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interest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w:t>
            </w:r>
          </w:p>
        </w:tc>
      </w:tr>
      <w:tr>
        <w:trPr>
          <w:trHeight w:val="23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investing and financing activities</w:t>
            </w: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7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purchases of property and equipment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r>
      <w:tr>
        <w:trPr>
          <w:trHeight w:val="230"/>
        </w:trPr>
        <w:tc>
          <w:tcPr>
            <w:tcW w:w="7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ROU assets obtained in exchange for operating lease liabilities, net of adjustments</w:t>
            </w:r>
            <w:r>
              <w:rPr>
                <w:rFonts w:ascii="Times New Roman" w:cs="Times New Roman" w:eastAsia="Times New Roman" w:hAnsi="Times New Roman"/>
                <w:sz w:val="10"/>
                <w:szCs w:val="10"/>
                <w:color w:val="auto"/>
              </w:rPr>
              <w:t>(1)</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(108,583)</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199,808</w:t>
            </w:r>
          </w:p>
        </w:tc>
      </w:tr>
      <w:tr>
        <w:trPr>
          <w:trHeight w:val="23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cash, cash equivalents, and restricted cash:</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7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26,957</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166,045</w:t>
            </w:r>
          </w:p>
        </w:tc>
      </w:tr>
      <w:tr>
        <w:trPr>
          <w:trHeight w:val="229"/>
        </w:trPr>
        <w:tc>
          <w:tcPr>
            <w:tcW w:w="7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320" w:type="dxa"/>
            <w:vAlign w:val="bottom"/>
            <w:tcBorders>
              <w:bottom w:val="single" w:sz="8" w:color="6D6D6D"/>
            </w:tcBorders>
            <w:shd w:val="clear" w:color="auto" w:fill="CCEEFF"/>
          </w:tcPr>
          <w:p>
            <w:pPr>
              <w:spacing w:after="0"/>
              <w:rPr>
                <w:sz w:val="19"/>
                <w:szCs w:val="19"/>
                <w:color w:val="auto"/>
              </w:rPr>
            </w:pPr>
          </w:p>
        </w:tc>
        <w:tc>
          <w:tcPr>
            <w:tcW w:w="1380" w:type="dxa"/>
            <w:vAlign w:val="bottom"/>
            <w:tcBorders>
              <w:bottom w:val="single" w:sz="8" w:color="6D6D6D"/>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48,942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6D6D6D"/>
            </w:tcBorders>
            <w:shd w:val="clear" w:color="auto" w:fill="CCEEFF"/>
          </w:tcPr>
          <w:p>
            <w:pPr>
              <w:spacing w:after="0"/>
              <w:rPr>
                <w:sz w:val="19"/>
                <w:szCs w:val="19"/>
                <w:color w:val="auto"/>
              </w:rPr>
            </w:pPr>
          </w:p>
        </w:tc>
        <w:tc>
          <w:tcPr>
            <w:tcW w:w="1320" w:type="dxa"/>
            <w:vAlign w:val="bottom"/>
            <w:tcBorders>
              <w:bottom w:val="single" w:sz="8" w:color="6D6D6D"/>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41,188</w:t>
            </w:r>
          </w:p>
        </w:tc>
      </w:tr>
      <w:tr>
        <w:trPr>
          <w:trHeight w:val="223"/>
        </w:trPr>
        <w:tc>
          <w:tcPr>
            <w:tcW w:w="7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20" w:type="dxa"/>
            <w:vAlign w:val="bottom"/>
            <w:tcBorders>
              <w:bottom w:val="single" w:sz="8" w:color="6D6D6D"/>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6D6D6D"/>
            </w:tcBorders>
          </w:tcPr>
          <w:p>
            <w:pPr>
              <w:jc w:val="right"/>
              <w:spacing w:after="0"/>
              <w:rPr>
                <w:sz w:val="20"/>
                <w:szCs w:val="20"/>
                <w:color w:val="auto"/>
              </w:rPr>
            </w:pPr>
            <w:r>
              <w:rPr>
                <w:rFonts w:ascii="Times New Roman" w:cs="Times New Roman" w:eastAsia="Times New Roman" w:hAnsi="Times New Roman"/>
                <w:sz w:val="18"/>
                <w:szCs w:val="18"/>
                <w:color w:val="auto"/>
              </w:rPr>
              <w:t>75,899</w:t>
            </w:r>
          </w:p>
        </w:tc>
        <w:tc>
          <w:tcPr>
            <w:tcW w:w="100" w:type="dxa"/>
            <w:vAlign w:val="bottom"/>
          </w:tcPr>
          <w:p>
            <w:pPr>
              <w:spacing w:after="0"/>
              <w:rPr>
                <w:sz w:val="19"/>
                <w:szCs w:val="19"/>
                <w:color w:val="auto"/>
              </w:rPr>
            </w:pPr>
          </w:p>
        </w:tc>
        <w:tc>
          <w:tcPr>
            <w:tcW w:w="380" w:type="dxa"/>
            <w:vAlign w:val="bottom"/>
            <w:tcBorders>
              <w:bottom w:val="single" w:sz="8" w:color="6D6D6D"/>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6D6D6D"/>
            </w:tcBorders>
          </w:tcPr>
          <w:p>
            <w:pPr>
              <w:jc w:val="right"/>
              <w:spacing w:after="0"/>
              <w:rPr>
                <w:sz w:val="20"/>
                <w:szCs w:val="20"/>
                <w:color w:val="auto"/>
              </w:rPr>
            </w:pPr>
            <w:r>
              <w:rPr>
                <w:rFonts w:ascii="Times New Roman" w:cs="Times New Roman" w:eastAsia="Times New Roman" w:hAnsi="Times New Roman"/>
                <w:sz w:val="18"/>
                <w:szCs w:val="18"/>
                <w:color w:val="auto"/>
              </w:rPr>
              <w:t>207,233</w:t>
            </w:r>
          </w:p>
        </w:tc>
      </w:tr>
      <w:tr>
        <w:trPr>
          <w:trHeight w:val="20"/>
        </w:trPr>
        <w:tc>
          <w:tcPr>
            <w:tcW w:w="7740" w:type="dxa"/>
            <w:vAlign w:val="bottom"/>
          </w:tcPr>
          <w:p>
            <w:pPr>
              <w:spacing w:after="0" w:line="20" w:lineRule="exact"/>
              <w:rPr>
                <w:sz w:val="1"/>
                <w:szCs w:val="1"/>
                <w:color w:val="auto"/>
              </w:rPr>
            </w:pPr>
          </w:p>
        </w:tc>
        <w:tc>
          <w:tcPr>
            <w:tcW w:w="320" w:type="dxa"/>
            <w:vAlign w:val="bottom"/>
            <w:tcBorders>
              <w:bottom w:val="single" w:sz="8" w:color="6D6D6D"/>
            </w:tcBorders>
          </w:tcPr>
          <w:p>
            <w:pPr>
              <w:spacing w:after="0" w:line="20" w:lineRule="exact"/>
              <w:rPr>
                <w:sz w:val="1"/>
                <w:szCs w:val="1"/>
                <w:color w:val="auto"/>
              </w:rPr>
            </w:pPr>
          </w:p>
        </w:tc>
        <w:tc>
          <w:tcPr>
            <w:tcW w:w="1380" w:type="dxa"/>
            <w:vAlign w:val="bottom"/>
            <w:tcBorders>
              <w:bottom w:val="single" w:sz="8" w:color="6D6D6D"/>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6D6D6D"/>
            </w:tcBorders>
          </w:tcPr>
          <w:p>
            <w:pPr>
              <w:spacing w:after="0" w:line="20" w:lineRule="exact"/>
              <w:rPr>
                <w:sz w:val="1"/>
                <w:szCs w:val="1"/>
                <w:color w:val="auto"/>
              </w:rPr>
            </w:pPr>
          </w:p>
        </w:tc>
        <w:tc>
          <w:tcPr>
            <w:tcW w:w="1320" w:type="dxa"/>
            <w:vAlign w:val="bottom"/>
            <w:tcBorders>
              <w:bottom w:val="single" w:sz="8" w:color="6D6D6D"/>
            </w:tcBorders>
          </w:tcPr>
          <w:p>
            <w:pPr>
              <w:spacing w:after="0" w:line="20" w:lineRule="exact"/>
              <w:rPr>
                <w:sz w:val="1"/>
                <w:szCs w:val="1"/>
                <w:color w:val="auto"/>
              </w:rPr>
            </w:pPr>
          </w:p>
        </w:tc>
      </w:tr>
    </w:tbl>
    <w:p>
      <w:pPr>
        <w:spacing w:after="0" w:line="324" w:lineRule="exact"/>
        <w:rPr>
          <w:sz w:val="20"/>
          <w:szCs w:val="20"/>
          <w:color w:val="auto"/>
        </w:rPr>
      </w:pPr>
    </w:p>
    <w:p>
      <w:pPr>
        <w:ind w:left="260" w:right="20" w:hanging="252"/>
        <w:spacing w:after="0" w:line="225" w:lineRule="auto"/>
        <w:tabs>
          <w:tab w:leader="none" w:pos="209" w:val="left"/>
        </w:tabs>
        <w:numPr>
          <w:ilvl w:val="0"/>
          <w:numId w:val="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Operating ROU assets declines and early lease termination gains are primarily related to the impact of lease terminations. We undertook an initiative in 2024 to renegotiate or exit certain properties where there exists unfavorable lease terms. These lease terminations primarily occurred during the first half of 2024.</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Reclassifications</w:t>
      </w:r>
    </w:p>
    <w:p>
      <w:pPr>
        <w:spacing w:after="0" w:line="254"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Certain prior period amounts have been reclassified on our unaudited condensed consolidated balance sheets to conform with our current period presentation.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Recently Issued Accounting Standards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Standards</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not adopted any recent accounting pronouncements that are expected to have a material impact on its results of operations, financial position, or cash flows.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Standards Not Yet Adopted</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Standards Update (“ASU”) No. 2023-07 Segment Reporting (Topic 280): Improvements to Reportable Segment Disclosures. Among other new disclosure requirements, ASU 2023-07 requires companies to disclose significant segment expenses that are regularly provided to the chief operating decision maker. ASU 2023-07 will be effective for annual periods beginning on January 1, 2024 and interim periods beginning on January 1, 2025. ASU 2023-07 must be applied retrospectively to all prior periods presented in the financial statements. We have evaluated the disclosure impact of ASU 2023-07; the standard will not have a material impact on the Company’s consolidated financial statements.</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ASU 2023-09 requires companies to disclose, on an annual basis, specific categories in the effective tax rate reconciliation and provide additional information for reconciling items that meet a quantitative threshold. In addition, ASU 2023-09 requires companies to disclose additional information about income taxes paid. ASU 2023-09 will be effective for annual periods beginning January 1, 2025 and will be applied on a prospective basis with the option to apply the standard retrospectively. We are evaluating the disclosure impact of ASU 2023-09 and its impact on the Company’s consolidated financial statements.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ASU 2024-03 requires companies to disclose additional information about specific expense categories in the notes to the financial statements. ASU 2024-03 will be effective for annual periods beginning January 1, 2026 and will be applied either prospectively to financial statements issued for reporting periods after the effective date of this update or retrospectively to any or all prior periods presented in the financial statements. Early adoption is permitted. We are evaluating the disclosure impact of ASU 2024-03 and its impact on the Company’s consolidated financial statements.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generates revenues primarily by providing accommodations to its guests. Direct revenue is generated from stays booked through Sonder.com, the Sonder app, or directly through the Company’s sales personnel. Indirect revenue is generated from stays booked through third party online travel agencies (“OTAs”).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Company’s total revenues disaggregated between direct and indirect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80" w:type="dxa"/>
            <w:vAlign w:val="bottom"/>
          </w:tcPr>
          <w:p>
            <w:pPr>
              <w:spacing w:after="0"/>
              <w:rPr>
                <w:sz w:val="20"/>
                <w:szCs w:val="20"/>
                <w:color w:val="auto"/>
              </w:rPr>
            </w:pPr>
          </w:p>
        </w:tc>
        <w:tc>
          <w:tcPr>
            <w:tcW w:w="3560" w:type="dxa"/>
            <w:vAlign w:val="bottom"/>
            <w:gridSpan w:val="6"/>
          </w:tcPr>
          <w:p>
            <w:pPr>
              <w:ind w:left="46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320" w:type="dxa"/>
            <w:vAlign w:val="bottom"/>
          </w:tcPr>
          <w:p>
            <w:pPr>
              <w:spacing w:after="0"/>
              <w:rPr>
                <w:sz w:val="20"/>
                <w:szCs w:val="20"/>
                <w:color w:val="auto"/>
              </w:rPr>
            </w:pPr>
          </w:p>
        </w:tc>
        <w:tc>
          <w:tcPr>
            <w:tcW w:w="3180" w:type="dxa"/>
            <w:vAlign w:val="bottom"/>
            <w:gridSpan w:val="4"/>
          </w:tcPr>
          <w:p>
            <w:pPr>
              <w:jc w:val="right"/>
              <w:ind w:right="410"/>
              <w:spacing w:after="0"/>
              <w:rPr>
                <w:sz w:val="20"/>
                <w:szCs w:val="20"/>
                <w:color w:val="auto"/>
              </w:rPr>
            </w:pPr>
            <w:r>
              <w:rPr>
                <w:rFonts w:ascii="Times New Roman" w:cs="Times New Roman" w:eastAsia="Times New Roman" w:hAnsi="Times New Roman"/>
                <w:sz w:val="18"/>
                <w:szCs w:val="18"/>
                <w:color w:val="auto"/>
              </w:rPr>
              <w:t>Nine months ended September 30,</w:t>
            </w:r>
          </w:p>
        </w:tc>
      </w:tr>
      <w:tr>
        <w:trPr>
          <w:trHeight w:val="223"/>
        </w:trPr>
        <w:tc>
          <w:tcPr>
            <w:tcW w:w="4180" w:type="dxa"/>
            <w:vAlign w:val="bottom"/>
            <w:tcBorders>
              <w:bottom w:val="single" w:sz="8" w:color="CCEEFF"/>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6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revenue</w:t>
            </w: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77,189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213,337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209,503</w:t>
            </w:r>
          </w:p>
        </w:tc>
      </w:tr>
      <w:tr>
        <w:trPr>
          <w:trHeight w:val="230"/>
        </w:trPr>
        <w:tc>
          <w:tcPr>
            <w:tcW w:w="4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Indirect revenue</w:t>
            </w:r>
          </w:p>
        </w:tc>
        <w:tc>
          <w:tcPr>
            <w:tcW w:w="10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84,925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87,327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246,857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228,299</w:t>
            </w:r>
          </w:p>
        </w:tc>
      </w:tr>
      <w:tr>
        <w:trPr>
          <w:trHeight w:val="248"/>
        </w:trPr>
        <w:tc>
          <w:tcPr>
            <w:tcW w:w="4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1040" w:type="dxa"/>
            <w:vAlign w:val="bottom"/>
            <w:tcBorders>
              <w:bottom w:val="single" w:sz="8" w:color="929292"/>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929292"/>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162,114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929292"/>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929292"/>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160,896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929292"/>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929292"/>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460,194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929292"/>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929292"/>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437,802</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929292"/>
            </w:tcBorders>
          </w:tcPr>
          <w:p>
            <w:pPr>
              <w:spacing w:after="0" w:line="20" w:lineRule="exact"/>
              <w:rPr>
                <w:sz w:val="1"/>
                <w:szCs w:val="1"/>
                <w:color w:val="auto"/>
              </w:rPr>
            </w:pPr>
          </w:p>
        </w:tc>
        <w:tc>
          <w:tcPr>
            <w:tcW w:w="640" w:type="dxa"/>
            <w:vAlign w:val="bottom"/>
            <w:tcBorders>
              <w:top w:val="single" w:sz="8" w:color="CCEEFF"/>
              <w:bottom w:val="single" w:sz="8" w:color="929292"/>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929292"/>
            </w:tcBorders>
          </w:tcPr>
          <w:p>
            <w:pPr>
              <w:spacing w:after="0" w:line="20" w:lineRule="exact"/>
              <w:rPr>
                <w:sz w:val="1"/>
                <w:szCs w:val="1"/>
                <w:color w:val="auto"/>
              </w:rPr>
            </w:pPr>
          </w:p>
        </w:tc>
        <w:tc>
          <w:tcPr>
            <w:tcW w:w="1300" w:type="dxa"/>
            <w:vAlign w:val="bottom"/>
            <w:tcBorders>
              <w:top w:val="single" w:sz="8" w:color="CCEEFF"/>
              <w:bottom w:val="single" w:sz="8" w:color="929292"/>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929292"/>
            </w:tcBorders>
          </w:tcPr>
          <w:p>
            <w:pPr>
              <w:spacing w:after="0" w:line="20" w:lineRule="exact"/>
              <w:rPr>
                <w:sz w:val="1"/>
                <w:szCs w:val="1"/>
                <w:color w:val="auto"/>
              </w:rPr>
            </w:pPr>
          </w:p>
        </w:tc>
        <w:tc>
          <w:tcPr>
            <w:tcW w:w="1380" w:type="dxa"/>
            <w:vAlign w:val="bottom"/>
            <w:tcBorders>
              <w:top w:val="single" w:sz="8" w:color="CCEEFF"/>
              <w:bottom w:val="single" w:sz="8" w:color="929292"/>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929292"/>
            </w:tcBorders>
          </w:tcPr>
          <w:p>
            <w:pPr>
              <w:spacing w:after="0" w:line="20" w:lineRule="exact"/>
              <w:rPr>
                <w:sz w:val="1"/>
                <w:szCs w:val="1"/>
                <w:color w:val="auto"/>
              </w:rPr>
            </w:pPr>
          </w:p>
        </w:tc>
        <w:tc>
          <w:tcPr>
            <w:tcW w:w="1320" w:type="dxa"/>
            <w:vAlign w:val="bottom"/>
            <w:tcBorders>
              <w:top w:val="single" w:sz="8" w:color="CCEEFF"/>
              <w:bottom w:val="single" w:sz="8" w:color="929292"/>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individual guest represented over 10% of revenues for the three and nine months ended September 30, 2024 and 2023.</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Three OTAs represented approximately 19%, 17%, and 13% of revenues for the three months ended September 30, 2024.</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Three OTAs represented approximately 24%, 14%, and 12% of revenues for the three months ended September 30, 2023. Three OTAs represented approximately 22%, 17%, and 11% of revenues for the nine months ended September 30, 2024. Three OTAs represented approximately 22%, 14%, and 12% of revenues for the nine months ended September 30, 2023.</w:t>
      </w:r>
    </w:p>
    <w:p>
      <w:pPr>
        <w:spacing w:after="0" w:line="21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OTAs represented over 10% of the gross accounts receivable balance at September 30, 2024, and one OTA represented approximately 17% of the gross accounts receivable balance as of December 31, 2023.</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1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
        </w:trPr>
        <w:tc>
          <w:tcPr>
            <w:tcW w:w="1360" w:type="dxa"/>
            <w:vAlign w:val="bottom"/>
            <w:shd w:val="clear" w:color="auto" w:fill="0000FF"/>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831"/>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4. Balance Sheet Details</w:t>
            </w: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459"/>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Other current assets</w:t>
            </w: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459"/>
        </w:trPr>
        <w:tc>
          <w:tcPr>
            <w:tcW w:w="7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current assets consists of the following (in thousands):</w:t>
            </w: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499"/>
        </w:trPr>
        <w:tc>
          <w:tcPr>
            <w:tcW w:w="136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September 30, 2024</w:t>
            </w:r>
          </w:p>
        </w:tc>
        <w:tc>
          <w:tcPr>
            <w:tcW w:w="200" w:type="dxa"/>
            <w:vAlign w:val="bottom"/>
          </w:tcPr>
          <w:p>
            <w:pPr>
              <w:spacing w:after="0"/>
              <w:rPr>
                <w:sz w:val="24"/>
                <w:szCs w:val="24"/>
                <w:color w:val="auto"/>
              </w:rPr>
            </w:pPr>
          </w:p>
        </w:tc>
        <w:tc>
          <w:tcPr>
            <w:tcW w:w="17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23"/>
        </w:trPr>
        <w:tc>
          <w:tcPr>
            <w:tcW w:w="72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Non-income-related tax assets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14,555</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10,030</w:t>
            </w:r>
          </w:p>
        </w:tc>
      </w:tr>
      <w:tr>
        <w:trPr>
          <w:trHeight w:val="229"/>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Deposits due from landlords</w:t>
            </w: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w:t>
            </w:r>
          </w:p>
        </w:tc>
      </w:tr>
      <w:tr>
        <w:trPr>
          <w:trHeight w:val="230"/>
        </w:trPr>
        <w:tc>
          <w:tcPr>
            <w:tcW w:w="7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tcBorders>
              <w:bottom w:val="single" w:sz="8" w:color="6D6D6D"/>
            </w:tcBorders>
            <w:shd w:val="clear" w:color="auto" w:fill="CCEEFF"/>
          </w:tcPr>
          <w:p>
            <w:pPr>
              <w:spacing w:after="0"/>
              <w:rPr>
                <w:sz w:val="19"/>
                <w:szCs w:val="19"/>
                <w:color w:val="auto"/>
              </w:rPr>
            </w:pPr>
          </w:p>
        </w:tc>
        <w:tc>
          <w:tcPr>
            <w:tcW w:w="1780" w:type="dxa"/>
            <w:vAlign w:val="bottom"/>
            <w:tcBorders>
              <w:bottom w:val="single" w:sz="8" w:color="6D6D6D"/>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6D6D6D"/>
            </w:tcBorders>
            <w:shd w:val="clear" w:color="auto" w:fill="CCEEFF"/>
          </w:tcPr>
          <w:p>
            <w:pPr>
              <w:spacing w:after="0"/>
              <w:rPr>
                <w:sz w:val="19"/>
                <w:szCs w:val="19"/>
                <w:color w:val="auto"/>
              </w:rPr>
            </w:pPr>
          </w:p>
        </w:tc>
        <w:tc>
          <w:tcPr>
            <w:tcW w:w="1740" w:type="dxa"/>
            <w:vAlign w:val="bottom"/>
            <w:tcBorders>
              <w:bottom w:val="single" w:sz="8" w:color="6D6D6D"/>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r>
      <w:tr>
        <w:trPr>
          <w:trHeight w:val="223"/>
        </w:trPr>
        <w:tc>
          <w:tcPr>
            <w:tcW w:w="72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other current assets</w:t>
            </w:r>
          </w:p>
        </w:tc>
        <w:tc>
          <w:tcPr>
            <w:tcW w:w="180" w:type="dxa"/>
            <w:vAlign w:val="bottom"/>
            <w:tcBorders>
              <w:bottom w:val="single" w:sz="8" w:color="6D6D6D"/>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6D6D6D"/>
            </w:tcBorders>
          </w:tcPr>
          <w:p>
            <w:pPr>
              <w:jc w:val="right"/>
              <w:spacing w:after="0"/>
              <w:rPr>
                <w:sz w:val="20"/>
                <w:szCs w:val="20"/>
                <w:color w:val="auto"/>
              </w:rPr>
            </w:pPr>
            <w:r>
              <w:rPr>
                <w:rFonts w:ascii="Times New Roman" w:cs="Times New Roman" w:eastAsia="Times New Roman" w:hAnsi="Times New Roman"/>
                <w:sz w:val="18"/>
                <w:szCs w:val="18"/>
                <w:color w:val="auto"/>
              </w:rPr>
              <w:t>15,527</w:t>
            </w:r>
          </w:p>
        </w:tc>
        <w:tc>
          <w:tcPr>
            <w:tcW w:w="80" w:type="dxa"/>
            <w:vAlign w:val="bottom"/>
          </w:tcPr>
          <w:p>
            <w:pPr>
              <w:spacing w:after="0"/>
              <w:rPr>
                <w:sz w:val="19"/>
                <w:szCs w:val="19"/>
                <w:color w:val="auto"/>
              </w:rPr>
            </w:pPr>
          </w:p>
        </w:tc>
        <w:tc>
          <w:tcPr>
            <w:tcW w:w="200" w:type="dxa"/>
            <w:vAlign w:val="bottom"/>
            <w:tcBorders>
              <w:bottom w:val="single" w:sz="8" w:color="6D6D6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6D6D6D"/>
            </w:tcBorders>
          </w:tcPr>
          <w:p>
            <w:pPr>
              <w:jc w:val="right"/>
              <w:spacing w:after="0"/>
              <w:rPr>
                <w:sz w:val="20"/>
                <w:szCs w:val="20"/>
                <w:color w:val="auto"/>
              </w:rPr>
            </w:pPr>
            <w:r>
              <w:rPr>
                <w:rFonts w:ascii="Times New Roman" w:cs="Times New Roman" w:eastAsia="Times New Roman" w:hAnsi="Times New Roman"/>
                <w:sz w:val="18"/>
                <w:szCs w:val="18"/>
                <w:color w:val="auto"/>
              </w:rPr>
              <w:t>11,345</w:t>
            </w:r>
          </w:p>
        </w:tc>
      </w:tr>
      <w:tr>
        <w:trPr>
          <w:trHeight w:val="21"/>
        </w:trPr>
        <w:tc>
          <w:tcPr>
            <w:tcW w:w="136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80" w:type="dxa"/>
            <w:vAlign w:val="bottom"/>
            <w:tcBorders>
              <w:bottom w:val="single" w:sz="8" w:color="6D6D6D"/>
            </w:tcBorders>
          </w:tcPr>
          <w:p>
            <w:pPr>
              <w:spacing w:after="0" w:line="20" w:lineRule="exact"/>
              <w:rPr>
                <w:sz w:val="1"/>
                <w:szCs w:val="1"/>
                <w:color w:val="auto"/>
              </w:rPr>
            </w:pPr>
          </w:p>
        </w:tc>
        <w:tc>
          <w:tcPr>
            <w:tcW w:w="1780" w:type="dxa"/>
            <w:vAlign w:val="bottom"/>
            <w:tcBorders>
              <w:bottom w:val="single" w:sz="8" w:color="6D6D6D"/>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6D6D6D"/>
            </w:tcBorders>
          </w:tcPr>
          <w:p>
            <w:pPr>
              <w:spacing w:after="0" w:line="20" w:lineRule="exact"/>
              <w:rPr>
                <w:sz w:val="1"/>
                <w:szCs w:val="1"/>
                <w:color w:val="auto"/>
              </w:rPr>
            </w:pPr>
          </w:p>
        </w:tc>
        <w:tc>
          <w:tcPr>
            <w:tcW w:w="1740" w:type="dxa"/>
            <w:vAlign w:val="bottom"/>
            <w:tcBorders>
              <w:bottom w:val="single" w:sz="8" w:color="6D6D6D"/>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8" w:right="339" w:bottom="1440" w:gutter="0" w:footer="0" w:header="0"/>
        </w:sectPr>
      </w:pP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non-current assets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non-current assets consists of the following (in thousands):</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Long-term deposits due from landlords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Debt issuance costs on undrawn credit facilities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Total non-current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18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September 30, 2024</w:t>
            </w:r>
          </w:p>
        </w:tc>
        <w:tc>
          <w:tcPr>
            <w:tcW w:w="200" w:type="dxa"/>
            <w:vAlign w:val="bottom"/>
          </w:tcPr>
          <w:p>
            <w:pPr>
              <w:spacing w:after="0"/>
              <w:rPr>
                <w:sz w:val="20"/>
                <w:szCs w:val="20"/>
                <w:color w:val="auto"/>
              </w:rPr>
            </w:pPr>
          </w:p>
        </w:tc>
        <w:tc>
          <w:tcPr>
            <w:tcW w:w="17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18"/>
        </w:trPr>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12,065</w:t>
            </w:r>
          </w:p>
        </w:tc>
        <w:tc>
          <w:tcPr>
            <w:tcW w:w="8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12,667</w:t>
            </w:r>
          </w:p>
        </w:tc>
      </w:tr>
      <w:tr>
        <w:trPr>
          <w:trHeight w:val="229"/>
        </w:trPr>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w:t>
            </w:r>
          </w:p>
        </w:tc>
      </w:tr>
      <w:tr>
        <w:trPr>
          <w:trHeight w:val="229"/>
        </w:trPr>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r>
      <w:tr>
        <w:trPr>
          <w:trHeight w:val="234"/>
        </w:trPr>
        <w:tc>
          <w:tcPr>
            <w:tcW w:w="180" w:type="dxa"/>
            <w:vAlign w:val="bottom"/>
            <w:tcBorders>
              <w:bottom w:val="single" w:sz="8" w:color="6D6D6D"/>
            </w:tcBorders>
          </w:tcPr>
          <w:p>
            <w:pPr>
              <w:spacing w:after="0"/>
              <w:rPr>
                <w:sz w:val="20"/>
                <w:szCs w:val="20"/>
                <w:color w:val="auto"/>
              </w:rPr>
            </w:pPr>
          </w:p>
        </w:tc>
        <w:tc>
          <w:tcPr>
            <w:tcW w:w="1780" w:type="dxa"/>
            <w:vAlign w:val="bottom"/>
            <w:tcBorders>
              <w:bottom w:val="single" w:sz="8" w:color="6D6D6D"/>
            </w:tcBorders>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80" w:type="dxa"/>
            <w:vAlign w:val="bottom"/>
          </w:tcPr>
          <w:p>
            <w:pPr>
              <w:spacing w:after="0"/>
              <w:rPr>
                <w:sz w:val="20"/>
                <w:szCs w:val="20"/>
                <w:color w:val="auto"/>
              </w:rPr>
            </w:pPr>
          </w:p>
        </w:tc>
        <w:tc>
          <w:tcPr>
            <w:tcW w:w="200" w:type="dxa"/>
            <w:vAlign w:val="bottom"/>
            <w:tcBorders>
              <w:bottom w:val="single" w:sz="8" w:color="6D6D6D"/>
            </w:tcBorders>
          </w:tcPr>
          <w:p>
            <w:pPr>
              <w:spacing w:after="0"/>
              <w:rPr>
                <w:sz w:val="20"/>
                <w:szCs w:val="20"/>
                <w:color w:val="auto"/>
              </w:rPr>
            </w:pPr>
          </w:p>
        </w:tc>
        <w:tc>
          <w:tcPr>
            <w:tcW w:w="1740" w:type="dxa"/>
            <w:vAlign w:val="bottom"/>
            <w:tcBorders>
              <w:bottom w:val="single" w:sz="8" w:color="6D6D6D"/>
            </w:tcBorders>
          </w:tcPr>
          <w:p>
            <w:pPr>
              <w:jc w:val="right"/>
              <w:spacing w:after="0"/>
              <w:rPr>
                <w:sz w:val="20"/>
                <w:szCs w:val="20"/>
                <w:color w:val="auto"/>
              </w:rPr>
            </w:pPr>
            <w:r>
              <w:rPr>
                <w:rFonts w:ascii="Times New Roman" w:cs="Times New Roman" w:eastAsia="Times New Roman" w:hAnsi="Times New Roman"/>
                <w:sz w:val="18"/>
                <w:szCs w:val="18"/>
                <w:color w:val="auto"/>
              </w:rPr>
              <w:t>227</w:t>
            </w:r>
          </w:p>
        </w:tc>
      </w:tr>
      <w:tr>
        <w:trPr>
          <w:trHeight w:val="223"/>
        </w:trPr>
        <w:tc>
          <w:tcPr>
            <w:tcW w:w="180" w:type="dxa"/>
            <w:vAlign w:val="bottom"/>
            <w:tcBorders>
              <w:bottom w:val="single" w:sz="8" w:color="6D6D6D"/>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6D6D6D"/>
            </w:tcBorders>
          </w:tcPr>
          <w:p>
            <w:pPr>
              <w:jc w:val="right"/>
              <w:spacing w:after="0"/>
              <w:rPr>
                <w:sz w:val="20"/>
                <w:szCs w:val="20"/>
                <w:color w:val="auto"/>
              </w:rPr>
            </w:pPr>
            <w:r>
              <w:rPr>
                <w:rFonts w:ascii="Times New Roman" w:cs="Times New Roman" w:eastAsia="Times New Roman" w:hAnsi="Times New Roman"/>
                <w:sz w:val="18"/>
                <w:szCs w:val="18"/>
                <w:color w:val="auto"/>
              </w:rPr>
              <w:t>14,436</w:t>
            </w:r>
          </w:p>
        </w:tc>
        <w:tc>
          <w:tcPr>
            <w:tcW w:w="80" w:type="dxa"/>
            <w:vAlign w:val="bottom"/>
          </w:tcPr>
          <w:p>
            <w:pPr>
              <w:spacing w:after="0"/>
              <w:rPr>
                <w:sz w:val="19"/>
                <w:szCs w:val="19"/>
                <w:color w:val="auto"/>
              </w:rPr>
            </w:pPr>
          </w:p>
        </w:tc>
        <w:tc>
          <w:tcPr>
            <w:tcW w:w="200" w:type="dxa"/>
            <w:vAlign w:val="bottom"/>
            <w:tcBorders>
              <w:bottom w:val="single" w:sz="8" w:color="6D6D6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6D6D6D"/>
            </w:tcBorders>
          </w:tcPr>
          <w:p>
            <w:pPr>
              <w:jc w:val="right"/>
              <w:spacing w:after="0"/>
              <w:rPr>
                <w:sz w:val="20"/>
                <w:szCs w:val="20"/>
                <w:color w:val="auto"/>
              </w:rPr>
            </w:pPr>
            <w:r>
              <w:rPr>
                <w:rFonts w:ascii="Times New Roman" w:cs="Times New Roman" w:eastAsia="Times New Roman" w:hAnsi="Times New Roman"/>
                <w:sz w:val="18"/>
                <w:szCs w:val="18"/>
                <w:color w:val="auto"/>
              </w:rPr>
              <w:t>15,150</w:t>
            </w:r>
          </w:p>
        </w:tc>
      </w:tr>
      <w:tr>
        <w:trPr>
          <w:trHeight w:val="21"/>
        </w:trPr>
        <w:tc>
          <w:tcPr>
            <w:tcW w:w="180" w:type="dxa"/>
            <w:vAlign w:val="bottom"/>
            <w:tcBorders>
              <w:bottom w:val="single" w:sz="8" w:color="6D6D6D"/>
            </w:tcBorders>
          </w:tcPr>
          <w:p>
            <w:pPr>
              <w:spacing w:after="0" w:line="20" w:lineRule="exact"/>
              <w:rPr>
                <w:sz w:val="1"/>
                <w:szCs w:val="1"/>
                <w:color w:val="auto"/>
              </w:rPr>
            </w:pPr>
          </w:p>
        </w:tc>
        <w:tc>
          <w:tcPr>
            <w:tcW w:w="1780" w:type="dxa"/>
            <w:vAlign w:val="bottom"/>
            <w:tcBorders>
              <w:bottom w:val="single" w:sz="8" w:color="6D6D6D"/>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6D6D6D"/>
            </w:tcBorders>
          </w:tcPr>
          <w:p>
            <w:pPr>
              <w:spacing w:after="0" w:line="20" w:lineRule="exact"/>
              <w:rPr>
                <w:sz w:val="1"/>
                <w:szCs w:val="1"/>
                <w:color w:val="auto"/>
              </w:rPr>
            </w:pPr>
          </w:p>
        </w:tc>
        <w:tc>
          <w:tcPr>
            <w:tcW w:w="1740" w:type="dxa"/>
            <w:vAlign w:val="bottom"/>
            <w:tcBorders>
              <w:bottom w:val="single" w:sz="8" w:color="6D6D6D"/>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540" w:space="720"/>
            <w:col w:w="3980"/>
          </w:cols>
          <w:pgMar w:left="320" w:top="108" w:right="339" w:bottom="1440" w:gutter="0" w:footer="0" w:header="0"/>
          <w:type w:val="continuous"/>
        </w:sectPr>
      </w:pP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2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Accrued liabilities</w:t>
            </w:r>
          </w:p>
        </w:tc>
        <w:tc>
          <w:tcPr>
            <w:tcW w:w="1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459"/>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 consists of the following (in thousands):</w:t>
            </w: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56"/>
        </w:trPr>
        <w:tc>
          <w:tcPr>
            <w:tcW w:w="7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September 30, 2024</w:t>
            </w:r>
          </w:p>
        </w:tc>
        <w:tc>
          <w:tcPr>
            <w:tcW w:w="200" w:type="dxa"/>
            <w:vAlign w:val="bottom"/>
          </w:tcPr>
          <w:p>
            <w:pPr>
              <w:spacing w:after="0"/>
              <w:rPr>
                <w:sz w:val="22"/>
                <w:szCs w:val="22"/>
                <w:color w:val="auto"/>
              </w:rPr>
            </w:pPr>
          </w:p>
        </w:tc>
        <w:tc>
          <w:tcPr>
            <w:tcW w:w="17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23"/>
        </w:trPr>
        <w:tc>
          <w:tcPr>
            <w:tcW w:w="7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legal expenses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16,660</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15,219</w:t>
            </w:r>
          </w:p>
        </w:tc>
      </w:tr>
      <w:tr>
        <w:trPr>
          <w:trHeight w:val="230"/>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4,395</w:t>
            </w:r>
          </w:p>
        </w:tc>
      </w:tr>
      <w:tr>
        <w:trPr>
          <w:trHeight w:val="230"/>
        </w:trPr>
        <w:tc>
          <w:tcPr>
            <w:tcW w:w="72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Accrued direct costs</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3,754</w:t>
            </w:r>
          </w:p>
        </w:tc>
      </w:tr>
      <w:tr>
        <w:trPr>
          <w:trHeight w:val="229"/>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FF&amp;E allowances</w:t>
            </w: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2,459</w:t>
            </w:r>
          </w:p>
        </w:tc>
      </w:tr>
      <w:tr>
        <w:trPr>
          <w:trHeight w:val="230"/>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other liabilities</w:t>
            </w:r>
          </w:p>
        </w:tc>
        <w:tc>
          <w:tcPr>
            <w:tcW w:w="180" w:type="dxa"/>
            <w:vAlign w:val="bottom"/>
            <w:tcBorders>
              <w:bottom w:val="single" w:sz="8" w:color="6D6D6D"/>
            </w:tcBorders>
            <w:shd w:val="clear" w:color="auto" w:fill="CCEEFF"/>
          </w:tcPr>
          <w:p>
            <w:pPr>
              <w:spacing w:after="0"/>
              <w:rPr>
                <w:sz w:val="19"/>
                <w:szCs w:val="19"/>
                <w:color w:val="auto"/>
              </w:rPr>
            </w:pPr>
          </w:p>
        </w:tc>
        <w:tc>
          <w:tcPr>
            <w:tcW w:w="1780" w:type="dxa"/>
            <w:vAlign w:val="bottom"/>
            <w:tcBorders>
              <w:bottom w:val="single" w:sz="8" w:color="6D6D6D"/>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13,147</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6D6D6D"/>
            </w:tcBorders>
            <w:shd w:val="clear" w:color="auto" w:fill="CCEEFF"/>
          </w:tcPr>
          <w:p>
            <w:pPr>
              <w:spacing w:after="0"/>
              <w:rPr>
                <w:sz w:val="19"/>
                <w:szCs w:val="19"/>
                <w:color w:val="auto"/>
              </w:rPr>
            </w:pPr>
          </w:p>
        </w:tc>
        <w:tc>
          <w:tcPr>
            <w:tcW w:w="1740" w:type="dxa"/>
            <w:vAlign w:val="bottom"/>
            <w:tcBorders>
              <w:bottom w:val="single" w:sz="8" w:color="6D6D6D"/>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12,672</w:t>
            </w:r>
          </w:p>
        </w:tc>
      </w:tr>
      <w:tr>
        <w:trPr>
          <w:trHeight w:val="223"/>
        </w:trPr>
        <w:tc>
          <w:tcPr>
            <w:tcW w:w="7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180" w:type="dxa"/>
            <w:vAlign w:val="bottom"/>
            <w:tcBorders>
              <w:bottom w:val="single" w:sz="8" w:color="6D6D6D"/>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6D6D6D"/>
            </w:tcBorders>
          </w:tcPr>
          <w:p>
            <w:pPr>
              <w:jc w:val="right"/>
              <w:spacing w:after="0"/>
              <w:rPr>
                <w:sz w:val="20"/>
                <w:szCs w:val="20"/>
                <w:color w:val="auto"/>
              </w:rPr>
            </w:pPr>
            <w:r>
              <w:rPr>
                <w:rFonts w:ascii="Times New Roman" w:cs="Times New Roman" w:eastAsia="Times New Roman" w:hAnsi="Times New Roman"/>
                <w:sz w:val="18"/>
                <w:szCs w:val="18"/>
                <w:color w:val="auto"/>
              </w:rPr>
              <w:t>39,097</w:t>
            </w:r>
          </w:p>
        </w:tc>
        <w:tc>
          <w:tcPr>
            <w:tcW w:w="80" w:type="dxa"/>
            <w:vAlign w:val="bottom"/>
          </w:tcPr>
          <w:p>
            <w:pPr>
              <w:spacing w:after="0"/>
              <w:rPr>
                <w:sz w:val="19"/>
                <w:szCs w:val="19"/>
                <w:color w:val="auto"/>
              </w:rPr>
            </w:pPr>
          </w:p>
        </w:tc>
        <w:tc>
          <w:tcPr>
            <w:tcW w:w="200" w:type="dxa"/>
            <w:vAlign w:val="bottom"/>
            <w:tcBorders>
              <w:bottom w:val="single" w:sz="8" w:color="6D6D6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6D6D6D"/>
            </w:tcBorders>
          </w:tcPr>
          <w:p>
            <w:pPr>
              <w:jc w:val="right"/>
              <w:spacing w:after="0"/>
              <w:rPr>
                <w:sz w:val="20"/>
                <w:szCs w:val="20"/>
                <w:color w:val="auto"/>
              </w:rPr>
            </w:pPr>
            <w:r>
              <w:rPr>
                <w:rFonts w:ascii="Times New Roman" w:cs="Times New Roman" w:eastAsia="Times New Roman" w:hAnsi="Times New Roman"/>
                <w:sz w:val="18"/>
                <w:szCs w:val="18"/>
                <w:color w:val="auto"/>
              </w:rPr>
              <w:t>38,499</w:t>
            </w:r>
          </w:p>
        </w:tc>
      </w:tr>
      <w:tr>
        <w:trPr>
          <w:trHeight w:val="20"/>
        </w:trPr>
        <w:tc>
          <w:tcPr>
            <w:tcW w:w="7260" w:type="dxa"/>
            <w:vAlign w:val="bottom"/>
          </w:tcPr>
          <w:p>
            <w:pPr>
              <w:spacing w:after="0" w:line="20" w:lineRule="exact"/>
              <w:rPr>
                <w:sz w:val="1"/>
                <w:szCs w:val="1"/>
                <w:color w:val="auto"/>
              </w:rPr>
            </w:pPr>
          </w:p>
        </w:tc>
        <w:tc>
          <w:tcPr>
            <w:tcW w:w="180" w:type="dxa"/>
            <w:vAlign w:val="bottom"/>
            <w:tcBorders>
              <w:bottom w:val="single" w:sz="8" w:color="6D6D6D"/>
            </w:tcBorders>
          </w:tcPr>
          <w:p>
            <w:pPr>
              <w:spacing w:after="0" w:line="20" w:lineRule="exact"/>
              <w:rPr>
                <w:sz w:val="1"/>
                <w:szCs w:val="1"/>
                <w:color w:val="auto"/>
              </w:rPr>
            </w:pPr>
          </w:p>
        </w:tc>
        <w:tc>
          <w:tcPr>
            <w:tcW w:w="1780" w:type="dxa"/>
            <w:vAlign w:val="bottom"/>
            <w:tcBorders>
              <w:bottom w:val="single" w:sz="8" w:color="6D6D6D"/>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6D6D6D"/>
            </w:tcBorders>
          </w:tcPr>
          <w:p>
            <w:pPr>
              <w:spacing w:after="0" w:line="20" w:lineRule="exact"/>
              <w:rPr>
                <w:sz w:val="1"/>
                <w:szCs w:val="1"/>
                <w:color w:val="auto"/>
              </w:rPr>
            </w:pPr>
          </w:p>
        </w:tc>
        <w:tc>
          <w:tcPr>
            <w:tcW w:w="1740" w:type="dxa"/>
            <w:vAlign w:val="bottom"/>
            <w:tcBorders>
              <w:bottom w:val="single" w:sz="8" w:color="6D6D6D"/>
            </w:tcBorders>
          </w:tcPr>
          <w:p>
            <w:pPr>
              <w:spacing w:after="0" w:line="20" w:lineRule="exact"/>
              <w:rPr>
                <w:sz w:val="1"/>
                <w:szCs w:val="1"/>
                <w:color w:val="auto"/>
              </w:rPr>
            </w:pPr>
          </w:p>
        </w:tc>
      </w:tr>
    </w:tbl>
    <w:p>
      <w:pPr>
        <w:spacing w:after="0" w:line="293" w:lineRule="exact"/>
        <w:rPr>
          <w:sz w:val="20"/>
          <w:szCs w:val="20"/>
          <w:color w:val="auto"/>
        </w:rPr>
      </w:pPr>
    </w:p>
    <w:p>
      <w:pPr>
        <w:ind w:left="180" w:hanging="172"/>
        <w:spacing w:after="0"/>
        <w:tabs>
          <w:tab w:leader="none" w:pos="180"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Direct costs include utilities, maintenance, insurance, cleaning, and other expenses related to the Company’s properties</w:t>
      </w:r>
      <w:r>
        <w:rPr>
          <w:rFonts w:ascii="Times New Roman" w:cs="Times New Roman" w:eastAsia="Times New Roman" w:hAnsi="Times New Roman"/>
          <w:sz w:val="14"/>
          <w:szCs w:val="14"/>
          <w:color w:val="auto"/>
        </w:rPr>
        <w: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0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Other current liabilities</w:t>
            </w:r>
          </w:p>
        </w:tc>
        <w:tc>
          <w:tcPr>
            <w:tcW w:w="2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 consists of the following (in thousands):</w:t>
            </w:r>
          </w:p>
        </w:tc>
        <w:tc>
          <w:tcPr>
            <w:tcW w:w="2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08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September 30, 2024</w:t>
            </w:r>
          </w:p>
        </w:tc>
        <w:tc>
          <w:tcPr>
            <w:tcW w:w="200" w:type="dxa"/>
            <w:vAlign w:val="bottom"/>
          </w:tcPr>
          <w:p>
            <w:pPr>
              <w:spacing w:after="0"/>
              <w:rPr>
                <w:sz w:val="22"/>
                <w:szCs w:val="22"/>
                <w:color w:val="auto"/>
              </w:rPr>
            </w:pPr>
          </w:p>
        </w:tc>
        <w:tc>
          <w:tcPr>
            <w:tcW w:w="17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December 31, 2023</w:t>
            </w:r>
          </w:p>
        </w:tc>
        <w:tc>
          <w:tcPr>
            <w:tcW w:w="0" w:type="dxa"/>
            <w:vAlign w:val="bottom"/>
          </w:tcPr>
          <w:p>
            <w:pPr>
              <w:spacing w:after="0"/>
              <w:rPr>
                <w:sz w:val="1"/>
                <w:szCs w:val="1"/>
                <w:color w:val="auto"/>
              </w:rPr>
            </w:pPr>
          </w:p>
        </w:tc>
      </w:tr>
      <w:tr>
        <w:trPr>
          <w:trHeight w:val="223"/>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Forward contract liability</w:t>
            </w:r>
          </w:p>
        </w:tc>
        <w:tc>
          <w:tcPr>
            <w:tcW w:w="21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125,173</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Preferred stock participation right</w:t>
            </w:r>
          </w:p>
        </w:tc>
        <w:tc>
          <w:tcPr>
            <w:tcW w:w="2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180" w:type="dxa"/>
            <w:vAlign w:val="bottom"/>
            <w:shd w:val="clear" w:color="auto" w:fill="CCEEFF"/>
          </w:tcPr>
          <w:p>
            <w:pPr>
              <w:spacing w:after="0"/>
              <w:rPr>
                <w:sz w:val="19"/>
                <w:szCs w:val="19"/>
                <w:color w:val="auto"/>
              </w:rPr>
            </w:pPr>
          </w:p>
        </w:tc>
        <w:tc>
          <w:tcPr>
            <w:tcW w:w="180" w:type="dxa"/>
            <w:vAlign w:val="bottom"/>
            <w:tcBorders>
              <w:bottom w:val="single" w:sz="8" w:color="6D6D6D"/>
            </w:tcBorders>
            <w:shd w:val="clear" w:color="auto" w:fill="CCEEFF"/>
          </w:tcPr>
          <w:p>
            <w:pPr>
              <w:spacing w:after="0"/>
              <w:rPr>
                <w:sz w:val="19"/>
                <w:szCs w:val="19"/>
                <w:color w:val="auto"/>
              </w:rPr>
            </w:pPr>
          </w:p>
        </w:tc>
        <w:tc>
          <w:tcPr>
            <w:tcW w:w="1780" w:type="dxa"/>
            <w:vAlign w:val="bottom"/>
            <w:tcBorders>
              <w:bottom w:val="single" w:sz="8" w:color="6D6D6D"/>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6D6D6D"/>
            </w:tcBorders>
            <w:shd w:val="clear" w:color="auto" w:fill="CCEEFF"/>
          </w:tcPr>
          <w:p>
            <w:pPr>
              <w:spacing w:after="0"/>
              <w:rPr>
                <w:sz w:val="19"/>
                <w:szCs w:val="19"/>
                <w:color w:val="auto"/>
              </w:rPr>
            </w:pPr>
          </w:p>
        </w:tc>
        <w:tc>
          <w:tcPr>
            <w:tcW w:w="1740" w:type="dxa"/>
            <w:vAlign w:val="bottom"/>
            <w:tcBorders>
              <w:bottom w:val="single" w:sz="8" w:color="6D6D6D"/>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23"/>
        </w:trPr>
        <w:tc>
          <w:tcPr>
            <w:tcW w:w="5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other current liabilities</w:t>
            </w:r>
          </w:p>
        </w:tc>
        <w:tc>
          <w:tcPr>
            <w:tcW w:w="2180" w:type="dxa"/>
            <w:vAlign w:val="bottom"/>
          </w:tcPr>
          <w:p>
            <w:pPr>
              <w:spacing w:after="0"/>
              <w:rPr>
                <w:sz w:val="19"/>
                <w:szCs w:val="19"/>
                <w:color w:val="auto"/>
              </w:rPr>
            </w:pPr>
          </w:p>
        </w:tc>
        <w:tc>
          <w:tcPr>
            <w:tcW w:w="180" w:type="dxa"/>
            <w:vAlign w:val="bottom"/>
            <w:tcBorders>
              <w:bottom w:val="single" w:sz="8" w:color="6D6D6D"/>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6D6D6D"/>
            </w:tcBorders>
          </w:tcPr>
          <w:p>
            <w:pPr>
              <w:jc w:val="right"/>
              <w:spacing w:after="0"/>
              <w:rPr>
                <w:sz w:val="20"/>
                <w:szCs w:val="20"/>
                <w:color w:val="auto"/>
              </w:rPr>
            </w:pPr>
            <w:r>
              <w:rPr>
                <w:rFonts w:ascii="Times New Roman" w:cs="Times New Roman" w:eastAsia="Times New Roman" w:hAnsi="Times New Roman"/>
                <w:sz w:val="18"/>
                <w:szCs w:val="18"/>
                <w:color w:val="auto"/>
              </w:rPr>
              <w:t>126,589</w:t>
            </w:r>
          </w:p>
        </w:tc>
        <w:tc>
          <w:tcPr>
            <w:tcW w:w="80" w:type="dxa"/>
            <w:vAlign w:val="bottom"/>
          </w:tcPr>
          <w:p>
            <w:pPr>
              <w:spacing w:after="0"/>
              <w:rPr>
                <w:sz w:val="19"/>
                <w:szCs w:val="19"/>
                <w:color w:val="auto"/>
              </w:rPr>
            </w:pPr>
          </w:p>
        </w:tc>
        <w:tc>
          <w:tcPr>
            <w:tcW w:w="200" w:type="dxa"/>
            <w:vAlign w:val="bottom"/>
            <w:tcBorders>
              <w:bottom w:val="single" w:sz="8" w:color="6D6D6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6D6D6D"/>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180" w:type="dxa"/>
            <w:vAlign w:val="bottom"/>
            <w:vMerge w:val="restart"/>
          </w:tcPr>
          <w:p>
            <w:pPr>
              <w:jc w:val="right"/>
              <w:ind w:right="1450"/>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Borders>
              <w:bottom w:val="single" w:sz="8" w:color="6D6D6D"/>
            </w:tcBorders>
          </w:tcPr>
          <w:p>
            <w:pPr>
              <w:spacing w:after="0" w:line="20" w:lineRule="exact"/>
              <w:rPr>
                <w:sz w:val="1"/>
                <w:szCs w:val="1"/>
                <w:color w:val="auto"/>
              </w:rPr>
            </w:pPr>
          </w:p>
        </w:tc>
        <w:tc>
          <w:tcPr>
            <w:tcW w:w="1780" w:type="dxa"/>
            <w:vAlign w:val="bottom"/>
            <w:tcBorders>
              <w:bottom w:val="single" w:sz="8" w:color="6D6D6D"/>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6D6D6D"/>
            </w:tcBorders>
          </w:tcPr>
          <w:p>
            <w:pPr>
              <w:spacing w:after="0" w:line="20" w:lineRule="exact"/>
              <w:rPr>
                <w:sz w:val="1"/>
                <w:szCs w:val="1"/>
                <w:color w:val="auto"/>
              </w:rPr>
            </w:pPr>
          </w:p>
        </w:tc>
        <w:tc>
          <w:tcPr>
            <w:tcW w:w="1740" w:type="dxa"/>
            <w:vAlign w:val="bottom"/>
            <w:tcBorders>
              <w:bottom w:val="single" w:sz="8" w:color="6D6D6D"/>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5"/>
        </w:trPr>
        <w:tc>
          <w:tcPr>
            <w:tcW w:w="5080" w:type="dxa"/>
            <w:vAlign w:val="bottom"/>
          </w:tcPr>
          <w:p>
            <w:pPr>
              <w:spacing w:after="0"/>
              <w:rPr>
                <w:sz w:val="24"/>
                <w:szCs w:val="24"/>
                <w:color w:val="auto"/>
              </w:rPr>
            </w:pPr>
          </w:p>
        </w:tc>
        <w:tc>
          <w:tcPr>
            <w:tcW w:w="21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80" w:type="dxa"/>
            <w:vAlign w:val="bottom"/>
            <w:tcBorders>
              <w:bottom w:val="single" w:sz="8" w:color="9A9A9A"/>
            </w:tcBorders>
          </w:tcPr>
          <w:p>
            <w:pPr>
              <w:spacing w:after="0"/>
              <w:rPr>
                <w:sz w:val="10"/>
                <w:szCs w:val="10"/>
                <w:color w:val="auto"/>
              </w:rPr>
            </w:pPr>
          </w:p>
        </w:tc>
        <w:tc>
          <w:tcPr>
            <w:tcW w:w="21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Fair Value Measurement and Financial Instruments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Hierarchy</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Accounting standards require the Company to maximize the use of observable inputs and minimize the use of unobservable inputs when measuring fair value. The standard describes three levels of inputs that may be used to measure fair value:</w:t>
      </w:r>
    </w:p>
    <w:p>
      <w:pPr>
        <w:spacing w:after="0" w:line="189" w:lineRule="exact"/>
        <w:rPr>
          <w:sz w:val="20"/>
          <w:szCs w:val="20"/>
          <w:color w:val="auto"/>
        </w:rPr>
      </w:pPr>
    </w:p>
    <w:p>
      <w:pPr>
        <w:ind w:left="1300" w:hanging="647"/>
        <w:spacing w:after="0" w:line="282" w:lineRule="auto"/>
        <w:rPr>
          <w:sz w:val="20"/>
          <w:szCs w:val="20"/>
          <w:color w:val="auto"/>
        </w:rPr>
      </w:pPr>
      <w:r>
        <w:rPr>
          <w:rFonts w:ascii="Times New Roman" w:cs="Times New Roman" w:eastAsia="Times New Roman" w:hAnsi="Times New Roman"/>
          <w:sz w:val="18"/>
          <w:szCs w:val="18"/>
          <w:u w:val="single" w:color="auto"/>
          <w:color w:val="auto"/>
        </w:rPr>
        <w:t>Level 1</w:t>
      </w:r>
      <w:r>
        <w:rPr>
          <w:rFonts w:ascii="Times New Roman" w:cs="Times New Roman" w:eastAsia="Times New Roman" w:hAnsi="Times New Roman"/>
          <w:sz w:val="18"/>
          <w:szCs w:val="18"/>
          <w:color w:val="auto"/>
          <w:highlight w:val="white"/>
        </w:rPr>
        <w:t>: Quoted prices in active markets. These are typically obtained from real-time quotes for transactions in active exchange markets involving</w:t>
      </w:r>
      <w:r>
        <w:rPr>
          <w:rFonts w:ascii="Times New Roman" w:cs="Times New Roman" w:eastAsia="Times New Roman" w:hAnsi="Times New Roman"/>
          <w:sz w:val="18"/>
          <w:szCs w:val="18"/>
          <w:color w:val="auto"/>
        </w:rPr>
        <w:t xml:space="preserve"> identical assets and liabilities.</w:t>
      </w:r>
    </w:p>
    <w:p>
      <w:pPr>
        <w:spacing w:after="0" w:line="189" w:lineRule="exact"/>
        <w:rPr>
          <w:sz w:val="20"/>
          <w:szCs w:val="20"/>
          <w:color w:val="auto"/>
        </w:rPr>
      </w:pPr>
    </w:p>
    <w:p>
      <w:pPr>
        <w:ind w:left="1300" w:right="20" w:hanging="647"/>
        <w:spacing w:after="0" w:line="282" w:lineRule="auto"/>
        <w:rPr>
          <w:sz w:val="20"/>
          <w:szCs w:val="20"/>
          <w:color w:val="auto"/>
        </w:rPr>
      </w:pPr>
      <w:r>
        <w:rPr>
          <w:rFonts w:ascii="Times New Roman" w:cs="Times New Roman" w:eastAsia="Times New Roman" w:hAnsi="Times New Roman"/>
          <w:sz w:val="18"/>
          <w:szCs w:val="18"/>
          <w:u w:val="single" w:color="auto"/>
          <w:color w:val="auto"/>
        </w:rPr>
        <w:t>Level 2</w:t>
      </w:r>
      <w:r>
        <w:rPr>
          <w:rFonts w:ascii="Times New Roman" w:cs="Times New Roman" w:eastAsia="Times New Roman" w:hAnsi="Times New Roman"/>
          <w:sz w:val="18"/>
          <w:szCs w:val="18"/>
          <w:color w:val="auto"/>
        </w:rPr>
        <w:t>: Quoted prices for similar assets and liabilities in active markets. These are typically quoted prices for identical or similar instruments in markets that are not active, and model-derived valuations in which all significant inputs are observable in active markets.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Level 3</w:t>
      </w:r>
      <w:r>
        <w:rPr>
          <w:rFonts w:ascii="Times New Roman" w:cs="Times New Roman" w:eastAsia="Times New Roman" w:hAnsi="Times New Roman"/>
          <w:sz w:val="18"/>
          <w:szCs w:val="18"/>
          <w:color w:val="auto"/>
        </w:rPr>
        <w:t>: Unobservable inputs in which there is little or no market data that are significant to the fair value of the assets or liabilities.</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financial instrument’s classification within the fair value hierarchy is based on the lowest level of any input that is significant to the fair value measurement.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Forward Contract Liability</w:t>
      </w:r>
    </w:p>
    <w:p>
      <w:pPr>
        <w:spacing w:after="0" w:line="23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 xml:space="preserve">As part of the Securities Purchase Agreements, as described further in </w:t>
      </w:r>
      <w:r>
        <w:rPr>
          <w:rFonts w:ascii="Times New Roman" w:cs="Times New Roman" w:eastAsia="Times New Roman" w:hAnsi="Times New Roman"/>
          <w:sz w:val="18"/>
          <w:szCs w:val="18"/>
          <w:i w:val="1"/>
          <w:iCs w:val="1"/>
          <w:color w:val="auto"/>
        </w:rPr>
        <w:t>Note 7</w:t>
      </w:r>
      <w:r>
        <w:rPr>
          <w:rFonts w:ascii="Times New Roman" w:cs="Times New Roman" w:eastAsia="Times New Roman" w:hAnsi="Times New Roman"/>
          <w:sz w:val="18"/>
          <w:szCs w:val="18"/>
          <w:color w:val="auto"/>
        </w:rPr>
        <w:t xml:space="preserve">, Redeemable Preferred Stock, the transaction included a Liability-classified forward contract for commitments of investors to purchase, and commitments of the Company to sell, additional Series A Convertible Preferred Stock. This commitment ended upon the issuance of the Second Tranche of Series A Preferred Stock in November 2024, as discussed in </w:t>
      </w:r>
      <w:r>
        <w:rPr>
          <w:rFonts w:ascii="Times New Roman" w:cs="Times New Roman" w:eastAsia="Times New Roman" w:hAnsi="Times New Roman"/>
          <w:sz w:val="18"/>
          <w:szCs w:val="18"/>
          <w:i w:val="1"/>
          <w:iCs w:val="1"/>
          <w:color w:val="auto"/>
        </w:rPr>
        <w:t>Note 15</w:t>
      </w:r>
      <w:r>
        <w:rPr>
          <w:rFonts w:ascii="Times New Roman" w:cs="Times New Roman" w:eastAsia="Times New Roman" w:hAnsi="Times New Roman"/>
          <w:sz w:val="18"/>
          <w:szCs w:val="18"/>
          <w:color w:val="auto"/>
        </w:rPr>
        <w:t>, Subsequent Events. The Company recognized a change in fair value of the forward contract of $86.6 million as the remeasurement reflecting fluctuations in the underlying variables and assumptions from inception on August 13, 2024 through the quarter ended on September 30, 2024.</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Preferred Stock Participation Right</w:t>
      </w:r>
    </w:p>
    <w:p>
      <w:pPr>
        <w:spacing w:after="0" w:line="23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 xml:space="preserve">As part of the Securities Purchase Agreements, as described further in </w:t>
      </w:r>
      <w:r>
        <w:rPr>
          <w:rFonts w:ascii="Times New Roman" w:cs="Times New Roman" w:eastAsia="Times New Roman" w:hAnsi="Times New Roman"/>
          <w:sz w:val="18"/>
          <w:szCs w:val="18"/>
          <w:i w:val="1"/>
          <w:iCs w:val="1"/>
          <w:color w:val="auto"/>
        </w:rPr>
        <w:t>Note 7</w:t>
      </w:r>
      <w:r>
        <w:rPr>
          <w:rFonts w:ascii="Times New Roman" w:cs="Times New Roman" w:eastAsia="Times New Roman" w:hAnsi="Times New Roman"/>
          <w:sz w:val="18"/>
          <w:szCs w:val="18"/>
          <w:color w:val="auto"/>
        </w:rPr>
        <w:t>, Redeemable Preferred Stock, the Company recognized a liability for this preferred stock participation right of $1.3 million within other current liabilities in the condensed consolidated balance sheets as of September 30, 2024. The Company recognized a change in fair value of the participation right of $12 thousand as the remeasurement reflecting fluctuations in the underlying variables and assumptions from inception on August 13, 2024 through the quarter ended on September 30,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SPAC Warrants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part of GMII’s initial public offering, GMII issued 9,000,000 public warrants (the “Public Warrants”) and 5,500,000 private placement warrants (the “Private Placement Warrants”), of which, every 20 warrants are exercisable for one share of common stock at a price of $230.00 per share (collectively, the “SPAC Warrants”).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has determined that the SPAC Warrants issued in GMII’s initial public offering, which remained outstanding at the consummation of the Business Combination and became exercisable for shares of the Company’s common stock, are subject to accounting treatment as a liability. At the consummation of the Business Combination and at September 30, 2024, the Company used the Public Warrants stock price to value the Public Warrants.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consummation of the Business Combination, the Company used a Monte Carlo simulation methodology to value the Private Placement Warrants using Level 3 inputs, as the Company did not have observable inputs for the valuation. At December 31, 2022, the Company used the Black-Scholes option-pricing model to estimate the fair value of the Private Placement Warrants using Level 3 inputs. During the three months ended March 31, 2022, the Private Placement Warrants were transferred by the original holders and, in accordance with the contractual terms of the Private Placement Warrants, became Public Warrants upon transfer. As such, at September 30, 2024, the Company used the Public Warrants stock price to value all SPAC Warrants.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2024, the SPAC Warrants were valued at $0.01 per warrant.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Note 9, </w:t>
      </w:r>
      <w:r>
        <w:rPr>
          <w:rFonts w:ascii="Times New Roman" w:cs="Times New Roman" w:eastAsia="Times New Roman" w:hAnsi="Times New Roman"/>
          <w:sz w:val="18"/>
          <w:szCs w:val="18"/>
          <w:i w:val="1"/>
          <w:iCs w:val="1"/>
          <w:color w:val="auto"/>
        </w:rPr>
        <w:t>Warrants and Stockholders’ Deficit,</w:t>
      </w:r>
      <w:r>
        <w:rPr>
          <w:rFonts w:ascii="Times New Roman" w:cs="Times New Roman" w:eastAsia="Times New Roman" w:hAnsi="Times New Roman"/>
          <w:sz w:val="18"/>
          <w:szCs w:val="18"/>
          <w:color w:val="auto"/>
        </w:rPr>
        <w:t xml:space="preserve"> for additional information about the SPAC Warrants.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 Out Liability</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consideration paid at consummation of the Business Combination, certain investors may receive their pro rata share of up to an aggregate of 725,000 additional shares of the Company’s common stock as consideration upon the common stock achieving certain benchmark share prices, as set forth in the Merger Agreement (the “Earn Out”). Management has determined that the Earn Out is subject to accounting treatment as a liability (the “Earn Out Liability”).</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September 30, 2024, the Company used a Monte Carlo simulation methodology to value the Earn Out using Level 3 inputs. The key assumptions used in the Monte Carlo simulation are related to expected share-price volatility of 82.5%, expected term of 2.79 years, risk-free interest rate of 3.6%, and dividend yield of 0%. The expected volatility at September 30, 2024 was derived from the volatility of comparable public companies.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Delayed Draw Warrants</w:t>
      </w:r>
    </w:p>
    <w:p>
      <w:pPr>
        <w:spacing w:after="0" w:line="2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fair value of the Delayed Draw Warrants (as defined in Note 6,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was estimated by separating the Delayed Draw Notes (as defined in Note 6,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into the debt and warrants components and assigning a fair value to each component. The value assigned to the debt component was the estimated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fair value as of the issuance date of similar debt without the warrants. The value assigned to the Delayed Draw Warrants component was estimated using the Black-Scholes option-pricing model using Level 3 inputs and was considered to be non-recurring in nature, in accordance with ASC 820, </w:t>
      </w:r>
      <w:r>
        <w:rPr>
          <w:rFonts w:ascii="Times New Roman" w:cs="Times New Roman" w:eastAsia="Times New Roman" w:hAnsi="Times New Roman"/>
          <w:sz w:val="18"/>
          <w:szCs w:val="18"/>
          <w:i w:val="1"/>
          <w:iCs w:val="1"/>
          <w:color w:val="auto"/>
        </w:rPr>
        <w:t>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Measurement</w:t>
      </w:r>
      <w:r>
        <w:rPr>
          <w:rFonts w:ascii="Times New Roman" w:cs="Times New Roman" w:eastAsia="Times New Roman" w:hAnsi="Times New Roman"/>
          <w:sz w:val="18"/>
          <w:szCs w:val="18"/>
          <w:color w:val="auto"/>
        </w:rPr>
        <w:t>. The warrants component was recorded as a debt discount, which is amortized using the effective interest method over the period from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date of issuance through the maturity date. Upon consummation of the Business Combination, the fair value of the Delayed Draw Warrants was $5.6 million and was included in additional paid-in capital in the condensed consolidated balance sheet. The Delayed Draw Warrants were canceled in connection with the issuance of the June 10, 2024 Third Notes Amendment as described in Note 6,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Recurring Fair Value Measurements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September 30, 2024, the Forward Contract Liability and the Preferred Stock Participation Right were included in other current liabilities in the condensed consolidated balance sheets. At September 30, 2024, the Earn Out Liability and Public Warrants liability were included in other non-current liabilities in the condensed consolidated balance sheets. The following table presents fair value information for liabilities measured at fair value on a recurring basis as of September 30, 2024 (in thousands):</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Level 1</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Level 3</w:t>
            </w:r>
          </w:p>
        </w:tc>
        <w:tc>
          <w:tcPr>
            <w:tcW w:w="380" w:type="dxa"/>
            <w:vAlign w:val="bottom"/>
          </w:tcPr>
          <w:p>
            <w:pPr>
              <w:spacing w:after="0"/>
              <w:rPr>
                <w:sz w:val="20"/>
                <w:szCs w:val="20"/>
                <w:color w:val="auto"/>
              </w:rPr>
            </w:pPr>
          </w:p>
        </w:tc>
        <w:tc>
          <w:tcPr>
            <w:tcW w:w="13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5940" w:type="dxa"/>
            <w:vAlign w:val="bottom"/>
            <w:tcBorders>
              <w:top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Forward Contract Liability</w:t>
            </w:r>
            <w:r>
              <w:rPr>
                <w:rFonts w:ascii="Times New Roman" w:cs="Times New Roman" w:eastAsia="Times New Roman" w:hAnsi="Times New Roman"/>
                <w:sz w:val="23"/>
                <w:szCs w:val="23"/>
                <w:color w:val="auto"/>
                <w:vertAlign w:val="superscript"/>
              </w:rPr>
              <w:t>(1)</w:t>
            </w:r>
          </w:p>
        </w:tc>
        <w:tc>
          <w:tcPr>
            <w:tcW w:w="1240" w:type="dxa"/>
            <w:vAlign w:val="bottom"/>
            <w:tcBorders>
              <w:top w:val="single" w:sz="8" w:color="auto"/>
            </w:tcBorders>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125,173</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125,173</w:t>
            </w:r>
          </w:p>
        </w:tc>
      </w:tr>
      <w:tr>
        <w:trPr>
          <w:trHeight w:val="230"/>
        </w:trPr>
        <w:tc>
          <w:tcPr>
            <w:tcW w:w="59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Preferred Stock Participation Right</w:t>
            </w:r>
            <w:r>
              <w:rPr>
                <w:rFonts w:ascii="Times New Roman" w:cs="Times New Roman" w:eastAsia="Times New Roman" w:hAnsi="Times New Roman"/>
                <w:sz w:val="23"/>
                <w:szCs w:val="23"/>
                <w:color w:val="auto"/>
                <w:vertAlign w:val="superscript"/>
              </w:rPr>
              <w:t>(2)</w:t>
            </w:r>
          </w:p>
        </w:tc>
        <w:tc>
          <w:tcPr>
            <w:tcW w:w="124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w:t>
            </w:r>
          </w:p>
        </w:tc>
      </w:tr>
      <w:tr>
        <w:trPr>
          <w:trHeight w:val="23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 Out Liability</w:t>
            </w:r>
          </w:p>
        </w:tc>
        <w:tc>
          <w:tcPr>
            <w:tcW w:w="124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0"/>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Public Warrants</w:t>
            </w:r>
          </w:p>
        </w:tc>
        <w:tc>
          <w:tcPr>
            <w:tcW w:w="12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r>
      <w:tr>
        <w:trPr>
          <w:trHeight w:val="248"/>
        </w:trPr>
        <w:tc>
          <w:tcPr>
            <w:tcW w:w="59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1240" w:type="dxa"/>
            <w:vAlign w:val="bottom"/>
            <w:tcBorders>
              <w:top w:val="single" w:sz="8" w:color="6D6D6D"/>
              <w:bottom w:val="single" w:sz="8" w:color="6D6D6D"/>
            </w:tcBorders>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6D6D6D"/>
              <w:bottom w:val="single" w:sz="8" w:color="6D6D6D"/>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6D6D6D"/>
              <w:bottom w:val="single" w:sz="8" w:color="6D6D6D"/>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6D6D6D"/>
              <w:bottom w:val="single" w:sz="8" w:color="6D6D6D"/>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6D6D6D"/>
              <w:bottom w:val="single" w:sz="8" w:color="6D6D6D"/>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6D6D6D"/>
              <w:bottom w:val="single" w:sz="8" w:color="6D6D6D"/>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126,813</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6D6D6D"/>
            </w:tcBorders>
          </w:tcPr>
          <w:p>
            <w:pPr>
              <w:spacing w:after="0" w:line="20" w:lineRule="exact"/>
              <w:rPr>
                <w:sz w:val="1"/>
                <w:szCs w:val="1"/>
                <w:color w:val="auto"/>
              </w:rPr>
            </w:pPr>
          </w:p>
        </w:tc>
        <w:tc>
          <w:tcPr>
            <w:tcW w:w="460" w:type="dxa"/>
            <w:vAlign w:val="bottom"/>
            <w:tcBorders>
              <w:top w:val="single" w:sz="8" w:color="CCEEFF"/>
              <w:bottom w:val="single" w:sz="8" w:color="6D6D6D"/>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6D6D6D"/>
            </w:tcBorders>
          </w:tcPr>
          <w:p>
            <w:pPr>
              <w:spacing w:after="0" w:line="20" w:lineRule="exact"/>
              <w:rPr>
                <w:sz w:val="1"/>
                <w:szCs w:val="1"/>
                <w:color w:val="auto"/>
              </w:rPr>
            </w:pPr>
          </w:p>
        </w:tc>
        <w:tc>
          <w:tcPr>
            <w:tcW w:w="1360" w:type="dxa"/>
            <w:vAlign w:val="bottom"/>
            <w:tcBorders>
              <w:top w:val="single" w:sz="8" w:color="CCEEFF"/>
              <w:bottom w:val="single" w:sz="8" w:color="6D6D6D"/>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6D6D6D"/>
            </w:tcBorders>
          </w:tcPr>
          <w:p>
            <w:pPr>
              <w:spacing w:after="0" w:line="20" w:lineRule="exact"/>
              <w:rPr>
                <w:sz w:val="1"/>
                <w:szCs w:val="1"/>
                <w:color w:val="auto"/>
              </w:rPr>
            </w:pPr>
          </w:p>
        </w:tc>
        <w:tc>
          <w:tcPr>
            <w:tcW w:w="1320" w:type="dxa"/>
            <w:vAlign w:val="bottom"/>
            <w:tcBorders>
              <w:top w:val="single" w:sz="8" w:color="CCEEFF"/>
              <w:bottom w:val="single" w:sz="8" w:color="6D6D6D"/>
            </w:tcBorders>
          </w:tcPr>
          <w:p>
            <w:pPr>
              <w:spacing w:after="0" w:line="20" w:lineRule="exact"/>
              <w:rPr>
                <w:sz w:val="1"/>
                <w:szCs w:val="1"/>
                <w:color w:val="auto"/>
              </w:rPr>
            </w:pPr>
          </w:p>
        </w:tc>
      </w:tr>
    </w:tbl>
    <w:p>
      <w:pPr>
        <w:spacing w:after="0" w:line="301" w:lineRule="exact"/>
        <w:rPr>
          <w:sz w:val="20"/>
          <w:szCs w:val="20"/>
          <w:color w:val="auto"/>
        </w:rPr>
      </w:pPr>
    </w:p>
    <w:p>
      <w:pPr>
        <w:ind w:left="180" w:hanging="172"/>
        <w:spacing w:after="0"/>
        <w:tabs>
          <w:tab w:leader="none" w:pos="180"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At inception, on August 13, 2024, the fair value of the Forward Contract Liability was $38.6 million.</w:t>
      </w:r>
    </w:p>
    <w:p>
      <w:pPr>
        <w:spacing w:after="0" w:line="1" w:lineRule="exact"/>
        <w:rPr>
          <w:rFonts w:ascii="Times New Roman" w:cs="Times New Roman" w:eastAsia="Times New Roman" w:hAnsi="Times New Roman"/>
          <w:sz w:val="22"/>
          <w:szCs w:val="22"/>
          <w:color w:val="auto"/>
          <w:vertAlign w:val="superscript"/>
        </w:rPr>
      </w:pPr>
    </w:p>
    <w:p>
      <w:pPr>
        <w:ind w:left="180" w:hanging="172"/>
        <w:spacing w:after="0" w:line="203" w:lineRule="auto"/>
        <w:tabs>
          <w:tab w:leader="none" w:pos="180"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At inception, on August 13, 2024, the fair value of the Preferred Stock Participation Right was $1.3 million.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2023, the Earn Out Liability and Public Warrants liability were included in other non-current liabilities in the condensed consolidated balance sheets. The following table presents fair value information for liabilities measured at fair value on a recurring basis as of December 31, 2023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Level 1</w:t>
            </w:r>
          </w:p>
        </w:tc>
        <w:tc>
          <w:tcPr>
            <w:tcW w:w="4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Level 3</w:t>
            </w:r>
          </w:p>
        </w:tc>
        <w:tc>
          <w:tcPr>
            <w:tcW w:w="4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 Out Liability</w:t>
            </w:r>
          </w:p>
        </w:tc>
        <w:tc>
          <w:tcPr>
            <w:tcW w:w="1240" w:type="dxa"/>
            <w:vAlign w:val="bottom"/>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0"/>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Public Warrants</w:t>
            </w:r>
          </w:p>
        </w:tc>
        <w:tc>
          <w:tcPr>
            <w:tcW w:w="12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r>
      <w:tr>
        <w:trPr>
          <w:trHeight w:val="248"/>
        </w:trPr>
        <w:tc>
          <w:tcPr>
            <w:tcW w:w="59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1240" w:type="dxa"/>
            <w:vAlign w:val="bottom"/>
            <w:tcBorders>
              <w:top w:val="single" w:sz="8" w:color="6D6D6D"/>
              <w:bottom w:val="single" w:sz="8" w:color="6D6D6D"/>
            </w:tcBorders>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6D6D6D"/>
              <w:bottom w:val="single" w:sz="8" w:color="6D6D6D"/>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6D6D6D"/>
              <w:bottom w:val="single" w:sz="8" w:color="6D6D6D"/>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6D6D6D"/>
              <w:bottom w:val="single" w:sz="8" w:color="6D6D6D"/>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6D6D6D"/>
              <w:bottom w:val="single" w:sz="8" w:color="6D6D6D"/>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6D6D6D"/>
              <w:bottom w:val="single" w:sz="8" w:color="6D6D6D"/>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6D6D6D"/>
            </w:tcBorders>
          </w:tcPr>
          <w:p>
            <w:pPr>
              <w:spacing w:after="0" w:line="20" w:lineRule="exact"/>
              <w:rPr>
                <w:sz w:val="1"/>
                <w:szCs w:val="1"/>
                <w:color w:val="auto"/>
              </w:rPr>
            </w:pPr>
          </w:p>
        </w:tc>
        <w:tc>
          <w:tcPr>
            <w:tcW w:w="460" w:type="dxa"/>
            <w:vAlign w:val="bottom"/>
            <w:tcBorders>
              <w:top w:val="single" w:sz="8" w:color="CCEEFF"/>
              <w:bottom w:val="single" w:sz="8" w:color="6D6D6D"/>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6D6D6D"/>
            </w:tcBorders>
          </w:tcPr>
          <w:p>
            <w:pPr>
              <w:spacing w:after="0" w:line="20" w:lineRule="exact"/>
              <w:rPr>
                <w:sz w:val="1"/>
                <w:szCs w:val="1"/>
                <w:color w:val="auto"/>
              </w:rPr>
            </w:pPr>
          </w:p>
        </w:tc>
        <w:tc>
          <w:tcPr>
            <w:tcW w:w="420" w:type="dxa"/>
            <w:vAlign w:val="bottom"/>
            <w:tcBorders>
              <w:top w:val="single" w:sz="8" w:color="CCEEFF"/>
              <w:bottom w:val="single" w:sz="8" w:color="6D6D6D"/>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6D6D6D"/>
            </w:tcBorders>
          </w:tcPr>
          <w:p>
            <w:pPr>
              <w:spacing w:after="0" w:line="20" w:lineRule="exact"/>
              <w:rPr>
                <w:sz w:val="1"/>
                <w:szCs w:val="1"/>
                <w:color w:val="auto"/>
              </w:rPr>
            </w:pPr>
          </w:p>
        </w:tc>
        <w:tc>
          <w:tcPr>
            <w:tcW w:w="1320" w:type="dxa"/>
            <w:vAlign w:val="bottom"/>
            <w:tcBorders>
              <w:top w:val="single" w:sz="8" w:color="CCEEFF"/>
              <w:bottom w:val="single" w:sz="8" w:color="6D6D6D"/>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The following table represents changes in Level 3 liabilities measured at fair value on a recurring basis for the nine months ended September 30, 2024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54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Level 3</w:t>
            </w:r>
          </w:p>
        </w:tc>
      </w:tr>
      <w:tr>
        <w:trPr>
          <w:trHeight w:val="223"/>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 at January 1, 2024</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0"/>
        </w:trPr>
        <w:tc>
          <w:tcPr>
            <w:tcW w:w="9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Transfers in to Level 3</w:t>
            </w:r>
          </w:p>
        </w:tc>
        <w:tc>
          <w:tcPr>
            <w:tcW w:w="3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39,894</w:t>
            </w:r>
          </w:p>
        </w:tc>
      </w:tr>
      <w:tr>
        <w:trPr>
          <w:trHeight w:val="229"/>
        </w:trPr>
        <w:tc>
          <w:tcPr>
            <w:tcW w:w="9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Forward Contract Liability</w:t>
            </w: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86,570</w:t>
            </w:r>
          </w:p>
        </w:tc>
      </w:tr>
      <w:tr>
        <w:trPr>
          <w:trHeight w:val="229"/>
        </w:trPr>
        <w:tc>
          <w:tcPr>
            <w:tcW w:w="9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Preferred Stock Participation Right</w:t>
            </w:r>
          </w:p>
        </w:tc>
        <w:tc>
          <w:tcPr>
            <w:tcW w:w="3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9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Earn Out Liability</w:t>
            </w:r>
          </w:p>
        </w:tc>
        <w:tc>
          <w:tcPr>
            <w:tcW w:w="340" w:type="dxa"/>
            <w:vAlign w:val="bottom"/>
            <w:tcBorders>
              <w:bottom w:val="single" w:sz="8" w:color="6D6D6D"/>
            </w:tcBorders>
            <w:shd w:val="clear" w:color="auto" w:fill="CCEEFF"/>
          </w:tcPr>
          <w:p>
            <w:pPr>
              <w:spacing w:after="0"/>
              <w:rPr>
                <w:sz w:val="19"/>
                <w:szCs w:val="19"/>
                <w:color w:val="auto"/>
              </w:rPr>
            </w:pPr>
          </w:p>
        </w:tc>
        <w:tc>
          <w:tcPr>
            <w:tcW w:w="1360" w:type="dxa"/>
            <w:vAlign w:val="bottom"/>
            <w:tcBorders>
              <w:bottom w:val="single" w:sz="8" w:color="6D6D6D"/>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 at September 30, 2024</w:t>
            </w:r>
          </w:p>
        </w:tc>
        <w:tc>
          <w:tcPr>
            <w:tcW w:w="340" w:type="dxa"/>
            <w:vAlign w:val="bottom"/>
            <w:tcBorders>
              <w:bottom w:val="single" w:sz="8" w:color="6D6D6D"/>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6D6D6D"/>
            </w:tcBorders>
          </w:tcPr>
          <w:p>
            <w:pPr>
              <w:jc w:val="right"/>
              <w:spacing w:after="0"/>
              <w:rPr>
                <w:sz w:val="20"/>
                <w:szCs w:val="20"/>
                <w:color w:val="auto"/>
              </w:rPr>
            </w:pPr>
            <w:r>
              <w:rPr>
                <w:rFonts w:ascii="Times New Roman" w:cs="Times New Roman" w:eastAsia="Times New Roman" w:hAnsi="Times New Roman"/>
                <w:sz w:val="18"/>
                <w:szCs w:val="18"/>
                <w:color w:val="auto"/>
              </w:rPr>
              <w:t>126,516</w:t>
            </w:r>
          </w:p>
        </w:tc>
      </w:tr>
      <w:tr>
        <w:trPr>
          <w:trHeight w:val="21"/>
        </w:trPr>
        <w:tc>
          <w:tcPr>
            <w:tcW w:w="9540" w:type="dxa"/>
            <w:vAlign w:val="bottom"/>
          </w:tcPr>
          <w:p>
            <w:pPr>
              <w:spacing w:after="0" w:line="20" w:lineRule="exact"/>
              <w:rPr>
                <w:sz w:val="1"/>
                <w:szCs w:val="1"/>
                <w:color w:val="auto"/>
              </w:rPr>
            </w:pPr>
          </w:p>
        </w:tc>
        <w:tc>
          <w:tcPr>
            <w:tcW w:w="340" w:type="dxa"/>
            <w:vAlign w:val="bottom"/>
            <w:tcBorders>
              <w:bottom w:val="single" w:sz="8" w:color="6D6D6D"/>
            </w:tcBorders>
          </w:tcPr>
          <w:p>
            <w:pPr>
              <w:spacing w:after="0" w:line="20" w:lineRule="exact"/>
              <w:rPr>
                <w:sz w:val="1"/>
                <w:szCs w:val="1"/>
                <w:color w:val="auto"/>
              </w:rPr>
            </w:pPr>
          </w:p>
        </w:tc>
        <w:tc>
          <w:tcPr>
            <w:tcW w:w="1360" w:type="dxa"/>
            <w:vAlign w:val="bottom"/>
            <w:tcBorders>
              <w:bottom w:val="single" w:sz="8" w:color="6D6D6D"/>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changes in Level 3 liabilities measured at fair value on a recurring basis for the year ended December 31, 2023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54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Level 3</w:t>
            </w:r>
          </w:p>
        </w:tc>
      </w:tr>
      <w:tr>
        <w:trPr>
          <w:trHeight w:val="223"/>
        </w:trPr>
        <w:tc>
          <w:tcPr>
            <w:tcW w:w="9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 at January 1, 2023</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2,417</w:t>
            </w:r>
          </w:p>
        </w:tc>
      </w:tr>
      <w:tr>
        <w:trPr>
          <w:trHeight w:val="230"/>
        </w:trPr>
        <w:tc>
          <w:tcPr>
            <w:tcW w:w="95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Change in fair value of Earn Out Liability</w:t>
            </w:r>
          </w:p>
        </w:tc>
        <w:tc>
          <w:tcPr>
            <w:tcW w:w="3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(2,372)</w:t>
            </w:r>
          </w:p>
        </w:tc>
      </w:tr>
      <w:tr>
        <w:trPr>
          <w:trHeight w:val="248"/>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 at December 31, 2023</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0"/>
        </w:trPr>
        <w:tc>
          <w:tcPr>
            <w:tcW w:w="95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transfers of financial instruments between valuation levels during the nine months ended September 30, 2024 and the year ended December 31, 2023.</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estimates that the fair values of its cash equivalents, restricted cash, accounts receivable, prepaid expenses, other current assets, accounts payable, accrued liabilities, sales tax payable, deferred revenue, and other current liabilities, approximates their carrying values due to the relatively short maturity of the instruments. The carrying value of the Company’s long-term debt approximates its fair value because it bears interest at a market rate and all other terms are also reflective of current market terms.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assumptions are inherently subjective and involve significant management judgment. Any change in fair value is recognized as a component of non-operating (income) expense, net, on the condensed consolidated statements of operations and comprehensive income (loss).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Debt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Delayed Draw Notes Purchase Agreement</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10, 2021, the Company entered into a note and warrant purchase agreement (the “Delayed Draw Notes Purchase Agreement”) with certain private placement investors (the “Purchasers”) for the sale of delayed draw notes in an aggregate of $165.0 million (the “Delayed Draw Notes”) to be available to the Company following the consummation of the Business Combination. The Delayed Draw Notes Purchase Agreement also provided for the issuance of warrants to purchase an aggregate of 123,750 shares of the Company’s common stock, with an exercise price of $250.00 per share (the “Delayed Draw Warrants”).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November 2023, the Delayed Draw Note Purchase Agreement was amended to (i) extend the ability to pay interest in kind on the Delayed Draw Notes through July 19, 2024, (ii) provide for the repayment by the Company of $30.0 million of the outstanding principal amount of the Delayed Draw Notes, plus a prepayment premium of approximately $4.3 million, and (iii) add a minimum liquidity covenant and a minimum FCF covenant.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On June 10, 2024, the Delayed Draw Notes Purchase Agreement was further amended to provide for (i) a permanent waiver of any non-compliance resulting from the NPA Waived Matters (as defined below), (ii) the limited forbearance of certain rights and remedies available under the transaction documents, (iii) the amendment of certain financial covenants, and (iv) additional commitments with an aggregate principal amount of $10.0 million. In addition, Purchasers also received detachable warrants (the “New Delayed Draw Warrants”) to purchase an aggregate of 475,264 shares of the Company’s common stock, each with an exercise price of $0.01 per share and an expiration date five years after the issuance date, and the previously issued Delayed Draw Warrants to the Purchasers were canceled. The Purchasers were also provided with customary registration rights for shares issuable upon exercise of the New Delayed Draw Warrants. Subsequently on June 10, 2024, the Company issued the $10.0 million of Delayed Draw Notes, together with the New Delayed Draw Warrants. In August 2024, all New Delayed Draw Warrants were exercised for cash. The Company used the proceeds from this issuance of Delayed Draw Notes and the exercise of the New Delayed Draw Warrants for general corporate purposes.</w:t>
      </w: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July 12, 2024, the Delayed Draw Notes Purchase Agreement was further amended to provide for additional commitments with an aggregate principal amount of up to $6.0 million issuable at the Company’s election. Subsequently on July 12, 2024, the Company issued the $6.0 million of Delayed Draw Notes. The Company used the proceeds from this issuance for general corporate purposes.</w:t>
      </w:r>
    </w:p>
    <w:p>
      <w:pPr>
        <w:spacing w:after="0" w:line="2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13, 2024, the Delayed Draw Notes Purchase Agreement was further amended to, among other things, (i) extend the maturity date of all outstanding Delayed Draw Notes to December 10, 2027, (ii) extend the Payment-in-Kind (“PIK”) interest payments through March 31, 2025, and at the option of the Purchasers, further extend the PIK interest payments through December 31, 2026, and (iii) provide for additional commitments with an aggregate principal amount of up to $4.0 million. Subsequently on August 13, 2024, the Company issued the $4.0 million of Delayed Draw Notes. The Company used the proceeds from this issuance for general corporate purposes.</w:t>
      </w:r>
    </w:p>
    <w:p>
      <w:pPr>
        <w:spacing w:after="0" w:line="2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October 28, 2024, the Company entered into a limited waiver and consent agreement (the “NPA Waiver”) to the Delayed Draw Notes Purchase Agreement to provide for (i) a permanent waiver of any non-compliance resulting from (x) the Company entering into certain lease modification agreements to that certain Lease with respect to certain premises located in the building known as and located at 23-20 Jackson Avenue, Long Island City, New York 11101, as amended, and (y) the Company’s failure to deliver the audited financial statements for each of the Company’s fiscal years ending December 31, 2023 and December 31, 2024 without a “going concern” or like qualification (the “NPA Waived Matters”), and (ii) the Company’s commitment to, on the date that the Company files its Current Report on Form 8-K disclosing the voting results of the Company’s 2024 annual meeting of stockholders (the “2024 Annual Meeting”), (1) if the Share Increase Proposal (as defined in the NPA Waiver) is approved at the 2024 Annual Meeting, issue warrants to the Purchasers to purchase an aggregate of (A) 500,000 shares of the Company’s common stock, if the Company elects to issue warrants with an exercise price of $0.01 or (B) 625,000 shares of the Company’s common stock, if the Company elects to issue warrants with an exercise price of $1.00, or (2) if the Share Increase Proposal is not approved at the 2024 Annual Meeting, make a payment to the Purchasers in the aggregate amount of $3,000,000. As a result of the NPA Waiver, the debt balances associated with the Delayed Draw Notes have been reclassified from current portion of long-term debt to long-term debt, net as of September 30, 2024.</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2024 and December 31, 2023, the effective interest rate of the Delayed Draw Notes was 17.3% and 17.4%, respectively.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Equipment Financing Agreement</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25, 2023, the Company entered into a master equipment financing agreement (the “EFA”), which is accounted for as debt under ASC 470. In accordance with the EFA, the Company received approximately $3.0 million in exchange for conveying an interest in certain furniture, fixtures, and equipment (the “FF&amp;E”). The EFA contains customary terms and events of default and provides for 12 quarterly payments with an effective interest rate of approximately 12.8% at both September 30, 2024 and December 31, 2023, which includes a balloon payment at the end of the term. The EFA matures in July 2026. Upon maturity, all interest in the FF&amp;E will revert back to the Company.</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Long term debt, net consisted of the following (in thousands):</w:t>
            </w:r>
          </w:p>
        </w:tc>
        <w:tc>
          <w:tcPr>
            <w:tcW w:w="2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499"/>
        </w:trPr>
        <w:tc>
          <w:tcPr>
            <w:tcW w:w="7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September 30, 2024</w:t>
            </w:r>
          </w:p>
        </w:tc>
        <w:tc>
          <w:tcPr>
            <w:tcW w:w="200" w:type="dxa"/>
            <w:vAlign w:val="bottom"/>
          </w:tcPr>
          <w:p>
            <w:pPr>
              <w:spacing w:after="0"/>
              <w:rPr>
                <w:sz w:val="24"/>
                <w:szCs w:val="24"/>
                <w:color w:val="auto"/>
              </w:rPr>
            </w:pPr>
          </w:p>
        </w:tc>
        <w:tc>
          <w:tcPr>
            <w:tcW w:w="18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23"/>
        </w:trPr>
        <w:tc>
          <w:tcPr>
            <w:tcW w:w="7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Delayed Draw Notes Purchase Agreement, including capitalized PIK interest</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222,117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180,199</w:t>
            </w:r>
          </w:p>
        </w:tc>
      </w:tr>
      <w:tr>
        <w:trPr>
          <w:trHeight w:val="230"/>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EFA</w:t>
            </w: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r>
      <w:tr>
        <w:trPr>
          <w:trHeight w:val="229"/>
        </w:trPr>
        <w:tc>
          <w:tcPr>
            <w:tcW w:w="7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debt discount related to Delayed Draw Warrants, net of amortization</w:t>
            </w: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(3,908)</w:t>
            </w:r>
          </w:p>
        </w:tc>
      </w:tr>
      <w:tr>
        <w:trPr>
          <w:trHeight w:val="229"/>
        </w:trPr>
        <w:tc>
          <w:tcPr>
            <w:tcW w:w="71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Less: unamortized deferred issuance costs</w:t>
            </w: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(8,581)</w:t>
            </w:r>
          </w:p>
        </w:tc>
      </w:tr>
      <w:tr>
        <w:trPr>
          <w:trHeight w:val="223"/>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 net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170,210</w:t>
            </w:r>
          </w:p>
        </w:tc>
      </w:tr>
      <w:tr>
        <w:trPr>
          <w:trHeight w:val="229"/>
        </w:trPr>
        <w:tc>
          <w:tcPr>
            <w:tcW w:w="71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(168,710)</w:t>
            </w:r>
          </w:p>
        </w:tc>
      </w:tr>
      <w:tr>
        <w:trPr>
          <w:trHeight w:val="248"/>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debt, net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September 30, 2024 the current portion of long-term debt consisted of $1.0 million in principal on the EFA. At December 31, 2023 the current portion of long-term debt consisted of $167.7 million in principal on the Delayed Draw Notes Purchase Agreement and $1.0 million in principal on the EFA.</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Loan and Security Agreement</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December 2022, the Company entered into a loan and security agreement with Silicon Valley Bank (“SVB”) (now, a division of First Citizens Bank &amp; Trust Company) (the “2022 Loan and Security Agreement”) for a revolving line of credit in an aggregate principal balance of $60.0 million with a maturity date of December 21, 2025. The facility may be utilized for revolving loans or letter of credit issuances subject to the terms of the 2022 Loan and Security Agreement. As of September 30, 2024, all letters of credit under this facility are fully cash collateralized, and as a result, the Company may not draw against the facility. The 2022 Loan and Security Agreement includes: (i)(x) a letter of credit fee for each letter of credit equal to 1.5% per annum of the dollar equivalent of the face amount of each letter of credit issued and (y) a letter of credit fronting fee equal to 0.25% per annum of the dollar equivalent of the face amount of each letter of credit issued, and (ii) an unused revolving line fee equal to 0.25% per annum of the average unused portion of the revolving line of credit.</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April 2023, the Company further amended the 2022 Loan and Security Agreement. Among other things, the amendment (i) reduced the required cash holdings account balances in the Company’s operating accounts, securities accounts, and depository accounts at or through SVB or its affiliates, (ii) amended the minimum consolidated adjusted EBITDA financial covenant, and (iii) provided additional flexibility to the Company under certain of the negative covenants in the 2022 Loan and Security Agreement.</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November 2023, the Company amended the 2022 Loan and Security Agreement again. The amendment (i) removed the adjusted quick ratio financial covenant to which the Company was previously subject, (ii) updated certain financial reporting requirements, (iii) reduced the letter of credit sublimit from $60.0 million to $45.0 million, and (iv) permitted a prepayment of the Company’s existing subordinated secured notes.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26, 2024, the Company entered into a waiver agreement with SVB, pursuant to which SVB waived any Default or Event of Default (each as defined in the 2022 Loan and Security Agreement) related to covenant non-compliance resulting from management’s conclusion that there is substantial doubt, which is not alleviated, about the Company’s ability to continue as a going concern for at least one year from the date of issuance of these financial statements.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28, 2024, the Company entered into another waiver agreement with SVB, pursuant to which SVB waived any Default or Event of Default (i) related to covenant non-compliance resulting from management’s conclusion that there is substantial doubt, which is not alleviated, about the Company’s ability to continue as a going concern for at least one year from the date of issuance of these financial statements, (ii) as a result of Borrower entering into and performing its obligations under the Lease Modification Agreement, and (iii) as a result of the NPA Waived Matters.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September 30, 2024, and as of the date the condensed consolidated financial statements were issued, the Company is in compliance with all financial covenants related to the 2022 Loan and Security Agreement, as amended. Additionally, at September 30, 2024, there were no revolving borrowings outstanding under the 2022 Loan and Security Agreement.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Outstanding letters of credit at September 30, 2024 and December 31, 2023 were permitted under the 2022 Loan and Security Agreement and totaled $47.5 million and $37.6 million,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Facility</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u w:val="single" w:color="auto"/>
          <w:color w:val="auto"/>
        </w:rPr>
        <w:t>2020 Québec Credit Facility</w:t>
      </w:r>
      <w:r>
        <w:rPr>
          <w:rFonts w:ascii="Times New Roman" w:cs="Times New Roman" w:eastAsia="Times New Roman" w:hAnsi="Times New Roman"/>
          <w:sz w:val="18"/>
          <w:szCs w:val="18"/>
          <w:color w:val="auto"/>
        </w:rPr>
        <w:t>: In December 2020, a Canadian subsidiary of the Company entered into an agreement with Investissement Québec, a Quebecois public investment entity, that provides a loan facility of CAD $25.0 million and an additional loan, referred to as a conditional-refund financial contribution (“CRFC”), of CAD $5.0 million (the “2020 Québec Credit Facility”). The loan and the CRFC bear interest at a fixed rate of 6.0% per annum for a period of 10 years starting from the first date of the loan disbursement. At December 31, 2023, the Company was in compliance with all financial covenants related to the 2020 Québec Credit Facility, but had not yet met the drawdown requirements, and as such, there have been no borrowings against the 2020 Québec Credit Facility. On July 29, 2024, the Company received formal notification from Investissement Québec that, at the Company’s request, the 2020 Québec Credit Facility had been terminated.</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Cash</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2024 and 2023, the Company entered into multiple cash collateral agreements in connection with the issuance of letters of credit and corporate credit card programs. At September 30, 2024 and December 31, 2023, the Company had $48.9 million and $40.7 million, respectively, of cash collateral which is reported as restricted cash on the condensed consolidated balance sheets.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Redeemable Preferred Stock</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August 13, 2024, the Company entered into Securities Purchase Agreements (the “Securities Purchase Agreements”) with certain qualified institutional buyers or accredited investors (collectively, the “Purchasers”) (the “Private Placement”) of an aggregate of 43.3 million newly issued shares of Series A Convertible Preferred Stock, par value $0.0001 per share (the “Series A Preferred Stock”), in exchange for cash consideration in an aggregate amount of approximately $43.3 million. The sale of the Series A Preferred Stock pursuant to the Securities Purchase Agreements took place in two tranches. The first tranche, comprised of approximately 14.7 million shares of preferred stock for an aggregate purchase price of approximately $14.7 million, closed on August 13, 2024. The second tranche, comprised of approximately 28.6 million shares of preferred stock in total for an aggregate purchase price of approximately $28.6 million, closed in multiple closings in November 2024, following the satisfaction of certain closing conditions set forth in the Securities Purchase Agreements, including the filing of the Annual Report and the Company’s Quarterly Reports on Form 10-Q for the fiscal quarters ended March 31, 2024 and June 30, 2024 (collectively, the “SEC Documents”). Following receipt of Stockholder Approval (as defined below), all 43.3 million shares of the Series A Preferred Stock are convertible into shares of common stock.</w:t>
      </w: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recognized a loss on preferred stock issuance of $58.2 million and was recorded for the three and nine months ended September 30, 2024, attributable to the Securities Purchase Agreements. The Company identified the following two freestanding financial instruments issued in connection with the transaction, a) Mezzanine equity-classified Series A Convertible Preferred Stock and b) Liability-classified forward contract for commitments of investors to purchase, and commitments of the Company to sell, additional Series A Convertible Preferred Stock. As of the transaction inception, these instruments had an aggregate fair value of $72.9 million and the Company received $14.7 million from the first tranche closing, resulting in the $58.2 million loss on preferred stock issuance. No similar loss was recognized during the nine months ended September 30, 2023, as no issuance of this nature occurred.</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As part of the Securities Purchase Agreements, the transaction included a Liability-classified forward contract for commitments of investors to purchase, and commitments of the Company to sell, additional Series A Convertible Preferred Stock. This commitment ended upon the issuance of the Second Tranche of Series A Preferred Stock in November 2024, as discussed in Note 15,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The Company recognized a change in fair value of the forward contract of $86.6 million as the remeasurement reflecting fluctuations in the underlying variables and assumptions from inception on August 13, 2024 through the quarter ended on September 30, 2024. No similar change in fair value of forward contract was recognized during the nine months ended September 30, 2023, as no issuance of this nature occurred.</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Securities Purchase Agreements required the Company to hold a special meeting of stockholders within 30 calendar days of the filing of the SEC Documents for the purpose of obtaining stockholder approval of proposals to issue shares of common stock to the Purchasers in connection with the conversion of the Series A Preferred Stock into common stock that</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would, absent such approval, violate Nasdaq Rules 5635(b), (c) and (d) (the “Stockholder Approval”). The Securities Purchase Agreements also require the Company to file a registration statement under the Securities Act within 30 calendar days of the filing of the Q2 Form 10-Q with respect to the resale of shares of common stock receivable upon conversion of the Series A Preferred Stock. At the Special Meeting of Stockholders held on September 30, 2024, the Company obtained the Stockholder Approval.</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Francis Davidson, the Company’s Chief Executive Officer and Chairman of the Company’s Board of Directors (the “Board”), and Sanjay Banker, a member of the Board, are parties to Securities Purchase Agreements, with commitments of approximately $1,500,000, and $100,000, respectively, in the Private Placement.</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Securities Purchase Agreements grant the Purchasers the right to purchase up to 25% of any equity offering within the next five years (a “Subsequent Financing”). The Purchasers are entitled to participate on a pro-rata basis (determined by their proportionate participation in the Private Placement) at a purchase price equal to 75% of the purchase price of any other investor in such Subsequent Financing. The Company recognized a liability for this preferred stock participation right of $1.3 million within other current liabilities in the condensed consolidated balance sheets as of September 30, 2024. The Company recognized a change in fair value of the participation right of $12 thousand as the remeasurement reflecting fluctuations in the underlying variables and assumptions from inception on August 13, 2024 through the quarter ended on September 30, 2024.</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Securities Purchase Agreements contain other representations, warranties and covenants of the Company and the Purchasers.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Certificate of Designation; Other Terms of Preferred Stock</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Private Placement, the Company filed the Certificate of Designation (the “Certificate of Designation”) creating the Series A Preferred Stock and establishing the rights, preferences and other terms of the Series A Preferred Stock. The Series A Preferred Stock ranks senior to the common stock with respect to the payment of dividends and distribution of assets upon liquidation, dissolution and winding up, and has a liquidation preference equal to the original issue price of $1.00 per share of Series A Preferred Stock, as adjusted for any stock dividends, splits, combinations and similar events on the Series A Preferred Stock.</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Holders of the Series A Preferred Stock are entitled to receive, when, as and if declared by the Board, cumulative dividends in cash (subject to certain conditions), at a rate of (a) fifteen percent (15.00%) from August 13, 2024 through August 13, 2025, (b) ten percent (10.00%) from August 14, 2025 through August 13, 2027, and (c) five percent (5.00%) from August 14, 2027 through August 13, 2028 on the sum of (i) the liquidation preference per share of Series A Preferred Stock and (ii) all accumulated and unpaid dividends (if any), payable quarterly, in arrears. Dividends accumulate on a daily basis from the most recent date as to which dividends have been paid, or, if no dividends have been paid, from the date of issuance of such shares of Series A Preferred Stock (whether or not (i) any of the Company’s agreements prohibit the current payment of dividends, (ii) there shall be earnings or funds of the Company legally available for the payment of such dividends, or (iii) the Company declares the payment of dividends), until the earlier of: (x) the date that the Company publicly reports that it has realized at least $87 million of FCF (representing cash used in operating activities plus cash used in investing activities) over a twelve month period; or (y) August 13, 2028.</w:t>
      </w:r>
    </w:p>
    <w:p>
      <w:pPr>
        <w:spacing w:after="0" w:line="2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Series A Preferred Stock has no stated maturity and will remain outstanding indefinitely unless converted into common stock. The Series A Preferred Stock will be convertible at the holders’ option into common stock at an initial conversion price of the lower of (i) $1.00 and (ii) a ten percent (10%) discount to the lowest daily VWAP of the common stock on the principal trading market therefor in the seven (7) trading days prior to the date of delivery of an Optional Conversion Notice (as defined in the Certificate of Designation); provided that the conversion price will not be less than $0.50, as adjusted for any stock dividends, splits, combinations or other similar events on the common stock or Series A Preferred Stock.</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event of a Fundamental Change (as defined in the Certificate of Designation), any holder of Series A Preferred Stock may require the Company to redeem all or any portion of its Series A Preferred Stock at a price per share equal to the greater of (i) the liquidation preference, plus an amount equal to all accumulated and unpaid dividends on such shares (including dividends accrued and unpaid on previously unpaid dividends), or (ii) the amount that such holder would have received in the Fundamental Change on an as-converted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Following the Company obtaining the Stockholder Approval, holders of the Series A Preferred Stock are entitled to vote on an as-converted-to-common-stock basis as provided in the Certificate of Designation, are entitled to 0.7 vote for each share of Series A Preferred Stock they hold, and powers of the holders of the common stock, and are entitled to vote together with the common stock with respect to any question upon which holders of common stock have the right to vote. In addition, approval of holders of 70% of the shares of Series A Preferred Stock is required to among other things (i) alter or change the terms of the Series A Preferred Stock or of any other capital stock of the Company so as to affect adversely the Series A Preferred Stock, (ii) create, authorize the creation of, or issue any Senior Securities or Parity Securities (as such terms are defined in the Certificate of Designation) to the Series A Preferred Stock as to dividend, redemption or distribution of assets upon a Fundamental Change, (iii) increase or decrease the authorized number of shares of Series A Preferred Stock, (iv) other than in connection with the Stockholder Approval, prior to July 1, 2025 increase the number of authorized shares of common stock, (v) issue more than a number of shares of common stock set forth in the Certificate of Designation prior to July 1, 2025, or (vi) issue any Series A Preferred Stock except pursuant to the terms of the Securities Purchase Agreements.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Leases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leases buildings or portions of buildings for guest usage and warehouses to store furniture under noncancellable operating lease agreements, which expire through 2049. The Company is required to pay property taxes, insurance, and maintenance costs for certain of these facilities.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lease agreements with lease and non-lease components and has elected to utilize the practical expedient to account for lease and non-lease components together in the condensed consolidated statements of operations and comprehensive income (loss).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lease ROU assets are included within operating lease right-of-use assets in the condensed consolidated balance sheets. The corresponding operating lease liabilities are included within current operating lease liabilities and non-current operating lease liabilities in the condensed consolidated balance sheets. ROU assets represent the Company’s right to use an underlying asset for the lease term and lease liabilities represent the Company’s obligation to make lease payments arising from the lease.</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Lease expense for fixed operating lease payments is recognized on a straight-line basis over the lease term. The Company’s lease terms may include options to extend or terminate the lease when it is reasonably certain that it will exercise that option.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Components of lease expense are as follows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80" w:type="dxa"/>
            <w:vAlign w:val="bottom"/>
          </w:tcPr>
          <w:p>
            <w:pPr>
              <w:spacing w:after="0"/>
              <w:rPr>
                <w:sz w:val="20"/>
                <w:szCs w:val="20"/>
                <w:color w:val="auto"/>
              </w:rPr>
            </w:pPr>
          </w:p>
        </w:tc>
        <w:tc>
          <w:tcPr>
            <w:tcW w:w="3560" w:type="dxa"/>
            <w:vAlign w:val="bottom"/>
            <w:gridSpan w:val="6"/>
          </w:tcPr>
          <w:p>
            <w:pPr>
              <w:ind w:left="46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320" w:type="dxa"/>
            <w:vAlign w:val="bottom"/>
          </w:tcPr>
          <w:p>
            <w:pPr>
              <w:spacing w:after="0"/>
              <w:rPr>
                <w:sz w:val="20"/>
                <w:szCs w:val="20"/>
                <w:color w:val="auto"/>
              </w:rPr>
            </w:pPr>
          </w:p>
        </w:tc>
        <w:tc>
          <w:tcPr>
            <w:tcW w:w="3180" w:type="dxa"/>
            <w:vAlign w:val="bottom"/>
            <w:gridSpan w:val="4"/>
          </w:tcPr>
          <w:p>
            <w:pPr>
              <w:jc w:val="right"/>
              <w:ind w:right="410"/>
              <w:spacing w:after="0"/>
              <w:rPr>
                <w:sz w:val="20"/>
                <w:szCs w:val="20"/>
                <w:color w:val="auto"/>
              </w:rPr>
            </w:pPr>
            <w:r>
              <w:rPr>
                <w:rFonts w:ascii="Times New Roman" w:cs="Times New Roman" w:eastAsia="Times New Roman" w:hAnsi="Times New Roman"/>
                <w:sz w:val="18"/>
                <w:szCs w:val="18"/>
                <w:color w:val="auto"/>
              </w:rPr>
              <w:t>Nine months ended September 30,</w:t>
            </w:r>
          </w:p>
        </w:tc>
      </w:tr>
      <w:tr>
        <w:trPr>
          <w:trHeight w:val="223"/>
        </w:trPr>
        <w:tc>
          <w:tcPr>
            <w:tcW w:w="4180" w:type="dxa"/>
            <w:vAlign w:val="bottom"/>
            <w:tcBorders>
              <w:bottom w:val="single" w:sz="8" w:color="CCEEFF"/>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6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69,410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82,085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223,790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230,701</w:t>
            </w:r>
          </w:p>
        </w:tc>
      </w:tr>
      <w:tr>
        <w:trPr>
          <w:trHeight w:val="230"/>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1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w:t>
            </w:r>
          </w:p>
        </w:tc>
      </w:tr>
      <w:tr>
        <w:trPr>
          <w:trHeight w:val="230"/>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10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8,838</w:t>
            </w:r>
          </w:p>
        </w:tc>
      </w:tr>
      <w:tr>
        <w:trPr>
          <w:trHeight w:val="223"/>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operating lease cost</w:t>
            </w:r>
          </w:p>
        </w:tc>
        <w:tc>
          <w:tcPr>
            <w:tcW w:w="108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72,989</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84,447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229,848</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240,303</w:t>
            </w:r>
          </w:p>
        </w:tc>
      </w:tr>
      <w:tr>
        <w:trPr>
          <w:trHeight w:val="20"/>
        </w:trPr>
        <w:tc>
          <w:tcPr>
            <w:tcW w:w="41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information related to operating leases is as follows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2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260" w:type="dxa"/>
            <w:vAlign w:val="bottom"/>
          </w:tcPr>
          <w:p>
            <w:pPr>
              <w:spacing w:after="0"/>
              <w:rPr>
                <w:sz w:val="20"/>
                <w:szCs w:val="20"/>
                <w:color w:val="auto"/>
              </w:rPr>
            </w:pPr>
          </w:p>
        </w:tc>
        <w:tc>
          <w:tcPr>
            <w:tcW w:w="302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color w:val="auto"/>
              </w:rPr>
              <w:t>Nine months ended September 30,</w:t>
            </w:r>
          </w:p>
        </w:tc>
      </w:tr>
      <w:tr>
        <w:trPr>
          <w:trHeight w:val="223"/>
        </w:trPr>
        <w:tc>
          <w:tcPr>
            <w:tcW w:w="448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payments for operating leases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70,709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68,343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204,602</w:t>
            </w:r>
          </w:p>
        </w:tc>
      </w:tr>
      <w:tr>
        <w:trPr>
          <w:trHeight w:val="175"/>
        </w:trPr>
        <w:tc>
          <w:tcPr>
            <w:tcW w:w="44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Operating ROU assets obtained in exchange for operating</w:t>
            </w:r>
          </w:p>
        </w:tc>
        <w:tc>
          <w:tcPr>
            <w:tcW w:w="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43"/>
        </w:trPr>
        <w:tc>
          <w:tcPr>
            <w:tcW w:w="4480" w:type="dxa"/>
            <w:vAlign w:val="bottom"/>
          </w:tcPr>
          <w:p>
            <w:pPr>
              <w:ind w:left="180"/>
              <w:spacing w:after="0" w:line="243" w:lineRule="exact"/>
              <w:rPr>
                <w:sz w:val="20"/>
                <w:szCs w:val="20"/>
                <w:color w:val="auto"/>
              </w:rPr>
            </w:pPr>
            <w:r>
              <w:rPr>
                <w:rFonts w:ascii="Times New Roman" w:cs="Times New Roman" w:eastAsia="Times New Roman" w:hAnsi="Times New Roman"/>
                <w:sz w:val="18"/>
                <w:szCs w:val="18"/>
                <w:color w:val="auto"/>
              </w:rPr>
              <w:t>lease liabilities, net of adjustments</w:t>
            </w:r>
            <w:r>
              <w:rPr>
                <w:rFonts w:ascii="Times New Roman" w:cs="Times New Roman" w:eastAsia="Times New Roman" w:hAnsi="Times New Roman"/>
                <w:sz w:val="23"/>
                <w:szCs w:val="23"/>
                <w:color w:val="auto"/>
                <w:vertAlign w:val="superscript"/>
              </w:rPr>
              <w:t>(1)</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29,228</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87,045</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(108,583)</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199,808</w:t>
            </w:r>
          </w:p>
        </w:tc>
      </w:tr>
      <w:tr>
        <w:trPr>
          <w:trHeight w:val="230"/>
        </w:trPr>
        <w:tc>
          <w:tcPr>
            <w:tcW w:w="44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Early lease terminations gains</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95,579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8,576</w:t>
            </w:r>
          </w:p>
        </w:tc>
      </w:tr>
    </w:tbl>
    <w:p>
      <w:pPr>
        <w:spacing w:after="0" w:line="67" w:lineRule="exact"/>
        <w:rPr>
          <w:sz w:val="20"/>
          <w:szCs w:val="20"/>
          <w:color w:val="auto"/>
        </w:rPr>
      </w:pPr>
    </w:p>
    <w:p>
      <w:pPr>
        <w:ind w:left="260" w:right="20" w:hanging="252"/>
        <w:spacing w:after="0" w:line="232" w:lineRule="auto"/>
        <w:tabs>
          <w:tab w:leader="none" w:pos="209"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Operating ROU assets declines and early lease termination gains are primarily related to the impact of lease terminations. We undertook an initiative in 2024 to renegotiate or exit certain properties where there exists unfavorable lease terms. These lease terminations primarily occurred during the first half of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September 30, 2024 and December 31, 2023, the weighted-average remaining lease term was 7.0 years and 7.4 years, respectively, and the weighted-average discount rate used to determine the net present value of the lease liabilities was 9.4% and 9.5%, respectively.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At September 30, 2024, remaining maturities for operating lease liabilities are as follows (in thousands):</w:t>
            </w:r>
          </w:p>
        </w:tc>
        <w:tc>
          <w:tcPr>
            <w:tcW w:w="18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499"/>
        </w:trPr>
        <w:tc>
          <w:tcPr>
            <w:tcW w:w="926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September 30, 2024</w:t>
            </w:r>
          </w:p>
        </w:tc>
      </w:tr>
      <w:tr>
        <w:trPr>
          <w:trHeight w:val="223"/>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2024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65,526</w:t>
            </w:r>
          </w:p>
        </w:tc>
      </w:tr>
      <w:tr>
        <w:trPr>
          <w:trHeight w:val="229"/>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279,574</w:t>
            </w:r>
          </w:p>
        </w:tc>
      </w:tr>
      <w:tr>
        <w:trPr>
          <w:trHeight w:val="230"/>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271,148</w:t>
            </w:r>
          </w:p>
        </w:tc>
      </w:tr>
      <w:tr>
        <w:trPr>
          <w:trHeight w:val="229"/>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240,948</w:t>
            </w:r>
          </w:p>
        </w:tc>
      </w:tr>
      <w:tr>
        <w:trPr>
          <w:trHeight w:val="229"/>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211,054</w:t>
            </w:r>
          </w:p>
        </w:tc>
      </w:tr>
      <w:tr>
        <w:trPr>
          <w:trHeight w:val="230"/>
        </w:trPr>
        <w:tc>
          <w:tcPr>
            <w:tcW w:w="9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635,764</w:t>
            </w:r>
          </w:p>
        </w:tc>
      </w:tr>
      <w:tr>
        <w:trPr>
          <w:trHeight w:val="223"/>
        </w:trPr>
        <w:tc>
          <w:tcPr>
            <w:tcW w:w="9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lease payments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1,704,014</w:t>
            </w:r>
          </w:p>
        </w:tc>
      </w:tr>
      <w:tr>
        <w:trPr>
          <w:trHeight w:val="230"/>
        </w:trPr>
        <w:tc>
          <w:tcPr>
            <w:tcW w:w="9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(463,044)</w:t>
            </w:r>
          </w:p>
        </w:tc>
      </w:tr>
      <w:tr>
        <w:trPr>
          <w:trHeight w:val="248"/>
        </w:trPr>
        <w:tc>
          <w:tcPr>
            <w:tcW w:w="9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operating lease liabilities,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1,240,970</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lease obligations primarily represent the initial contracted term for leases that have commenced as of September 30, 2024, not including any future optional renewal periods. In addition, as of September 30, 2024, we have entered into leases that have not yet commenced with future lease payments totaling $760.0 million, excluding purchase options, that are not yet recorded on the condensed consolidated balance sheets and are not reflected in the figure above. These leases will commence between 2024 and 2029 with lease terms of three to 20 years.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Warrants and Stockholders’ Deficit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Preferred Stock Warrants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Upon consummation of the Business Combination, (i) the Company’s then existing Series A and Series B preferred stock warrants were converted into 7,761 post-combination shares of the Company’s common stock for a value of $1.2 million, and (ii) the Company’s then existing Series C and Series D preferred stock warrants automatically converted into warrants to purchase shares of the Company’s common stock. The Series C and Series D preferred stock warrants are accounted for as equity in accordance with ASC 815-40, </w:t>
      </w:r>
      <w:r>
        <w:rPr>
          <w:rFonts w:ascii="Times New Roman" w:cs="Times New Roman" w:eastAsia="Times New Roman" w:hAnsi="Times New Roman"/>
          <w:sz w:val="18"/>
          <w:szCs w:val="18"/>
          <w:i w:val="1"/>
          <w:iCs w:val="1"/>
          <w:color w:val="auto"/>
        </w:rPr>
        <w:t>Derivatives and Hedging – Contracts on an Entity’s Own Equity</w:t>
      </w:r>
      <w:r>
        <w:rPr>
          <w:rFonts w:ascii="Times New Roman" w:cs="Times New Roman" w:eastAsia="Times New Roman" w:hAnsi="Times New Roman"/>
          <w:sz w:val="18"/>
          <w:szCs w:val="18"/>
          <w:color w:val="auto"/>
        </w:rPr>
        <w:t xml:space="preserve"> (“ASC 815-40”).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 Warrants</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Former Series C and D Preferred Stock Warrants</w:t>
      </w:r>
      <w:r>
        <w:rPr>
          <w:rFonts w:ascii="Times New Roman" w:cs="Times New Roman" w:eastAsia="Times New Roman" w:hAnsi="Times New Roman"/>
          <w:sz w:val="18"/>
          <w:szCs w:val="18"/>
          <w:color w:val="auto"/>
        </w:rPr>
        <w:t>: In connection with the Business Combination, the Company had outstanding warrants to purchase 21,281 shares of common stock as of September 30, 2024 and December 31, 2023.</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Delayed Draw Issuance</w:t>
      </w:r>
      <w:r>
        <w:rPr>
          <w:rFonts w:ascii="Times New Roman" w:cs="Times New Roman" w:eastAsia="Times New Roman" w:hAnsi="Times New Roman"/>
          <w:sz w:val="18"/>
          <w:szCs w:val="18"/>
          <w:color w:val="auto"/>
        </w:rPr>
        <w:t>: On June 10, 2024, in connection with the amendment to the Delayed Draw Notes Purchase Agreement, the Purchasers also received New Delayed Draw Warrants to purchase an aggregate of 475,264 shares of the Company’s common stock, each with an exercise price of $0.01 per share and an expiration date five years after the issuance date. The Purchasers were also provided with customary registration rights for the shares issuable upon exercise of the Warrants.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Delayed Draw Warrants</w:t>
      </w:r>
      <w:r>
        <w:rPr>
          <w:rFonts w:ascii="Times New Roman" w:cs="Times New Roman" w:eastAsia="Times New Roman" w:hAnsi="Times New Roman"/>
          <w:sz w:val="18"/>
          <w:szCs w:val="18"/>
          <w:color w:val="auto"/>
        </w:rPr>
        <w:t>: The Delayed Draw Warrants which were outstanding as of December 31, 2023 were issued to the initial Purchasers and were accounted for as equity-classified warrants in accordance with ASC 815-40. Upon consummation of the Business Combination, the value of the Delayed Draw Warrants was $5.6 million and was recorded within additional paid-in capital in the consolidated balance sheets. The Purchasers were also provided with customary registration rights for the shares issuable upon exercise of the Delayed Draw Warrants. Such warrants were canceled in connection with the June 10, 2024 amendment to the Delayed Draw Notes Purchase Agreement.</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SPAC Warrants</w:t>
      </w:r>
      <w:r>
        <w:rPr>
          <w:rFonts w:ascii="Times New Roman" w:cs="Times New Roman" w:eastAsia="Times New Roman" w:hAnsi="Times New Roman"/>
          <w:sz w:val="18"/>
          <w:szCs w:val="18"/>
          <w:color w:val="auto"/>
        </w:rPr>
        <w:t>: The SPAC Warrants are accounted for as liabilities, as there are certain terms and features of the warrants that do not qualify for equity classification in accordance with ASC 815-40. The fair value of the SPAC Warrants at September 30, 2024 and December 31, 2023 was a liability of $0.2 million and $0.3 million, respectively, which were recorded in other non-current liabilities in the consolidated balance sheet. The change in fair value of $0.1 million for the nine months ended September 30, 2024 is reflected as non-operating income in the condensed consolidated statements of operations and comprehensive (loss) income.</w:t>
      </w:r>
    </w:p>
    <w:p>
      <w:pPr>
        <w:spacing w:after="0" w:line="21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At September 30, 2023, the fair value of the SPAC Warrants was $0.2 million and was recorded in other non-current liabilities in the condensed consolidated balance sheets. The change in fair value of $0.7 million for the nine months ended September 30, 2023 is reflected as non-operating income in the condensed consolidated statements of operations and comprehensive (loss) income.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Exchangeable Stock</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Upon consummation of the Business Combination on January 18, 2022, each share of Sonder Canada Inc. (“Legacy Sonder Canada”) exchangeable common stock (“Legacy Sonder Canada Exchangeable Stock” and collectively, “Legacy Sonder Canada Exchangeable Shares”) was exchanged into a new series of the same class of virtually identical Legacy Sonder Canada Exchangeable Common Stock (“Post-Combination Exchangeable Common Stock” and collectively, “Post-Combination Exchangeable Shares”) exchangeable for the Company’s common stock. On that date, all the Legacy Sonder Canada Exchangeable Shares were automatically converted into 1,616,767 Post-Combination Exchangeable Shares for a value of $49.7 million.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the following authorized and outstanding Post-Combination Exchangeable Common Stock (in thousands, except per share amounts):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September 30, 2024</w:t>
            </w:r>
          </w:p>
        </w:tc>
        <w:tc>
          <w:tcPr>
            <w:tcW w:w="220" w:type="dxa"/>
            <w:vAlign w:val="bottom"/>
          </w:tcPr>
          <w:p>
            <w:pPr>
              <w:spacing w:after="0"/>
              <w:rPr>
                <w:sz w:val="20"/>
                <w:szCs w:val="20"/>
                <w:color w:val="auto"/>
              </w:rPr>
            </w:pPr>
          </w:p>
        </w:tc>
        <w:tc>
          <w:tcPr>
            <w:tcW w:w="18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23"/>
        </w:trPr>
        <w:tc>
          <w:tcPr>
            <w:tcW w:w="7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authorized</w:t>
            </w:r>
          </w:p>
        </w:tc>
        <w:tc>
          <w:tcPr>
            <w:tcW w:w="200" w:type="dxa"/>
            <w:vAlign w:val="bottom"/>
            <w:tcBorders>
              <w:top w:val="single" w:sz="8" w:color="auto"/>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w:t>
            </w:r>
          </w:p>
        </w:tc>
      </w:tr>
      <w:tr>
        <w:trPr>
          <w:trHeight w:val="230"/>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issued and outstanding</w:t>
            </w:r>
          </w:p>
        </w:tc>
        <w:tc>
          <w:tcPr>
            <w:tcW w:w="2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551,072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712,982</w:t>
            </w: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price per share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30.80</w:t>
            </w:r>
          </w:p>
        </w:tc>
      </w:tr>
      <w:tr>
        <w:trPr>
          <w:trHeight w:val="230"/>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carrying value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16,973</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21,960</w:t>
            </w:r>
          </w:p>
        </w:tc>
      </w:tr>
      <w:tr>
        <w:trPr>
          <w:trHeight w:val="22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Aggregate liquidation preference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21,960</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carrying value of the Post-Combination Exchangeable Shares is included in additional paid-in capital in the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and Preferred Stock</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20, 2023, the Company effected a 1-for-20 reverse stock split of the outstanding shares of the Company’s common stock (including special voting common stock) (the “Reverse Stock Split”). The Company’s amended and restated certificate of incorporation (the “Certificate of Incorporation”) following the Business Combination and the Reverse Stock Split authorizes the issuance of 272,000,000 shares, consisting of: (a) 22,000,000 shares of general common stock, including: (i) 20,000,000 shares of common stock, and (ii) 2,000,000 shares of Special Voting Common Stock, and (b) 250,000,000 shares of preferred stock, par value $0.0001 per share.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The Company had reserved the following shares of common stock for future issuance:</w:t>
            </w:r>
          </w:p>
        </w:tc>
        <w:tc>
          <w:tcPr>
            <w:tcW w:w="2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499"/>
        </w:trPr>
        <w:tc>
          <w:tcPr>
            <w:tcW w:w="7040" w:type="dxa"/>
            <w:vAlign w:val="bottom"/>
          </w:tcPr>
          <w:p>
            <w:pPr>
              <w:spacing w:after="0"/>
              <w:rPr>
                <w:sz w:val="24"/>
                <w:szCs w:val="24"/>
                <w:color w:val="auto"/>
              </w:rPr>
            </w:pPr>
          </w:p>
        </w:tc>
        <w:tc>
          <w:tcPr>
            <w:tcW w:w="21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September 30, 2024</w:t>
            </w:r>
          </w:p>
        </w:tc>
        <w:tc>
          <w:tcPr>
            <w:tcW w:w="20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23"/>
        </w:trPr>
        <w:tc>
          <w:tcPr>
            <w:tcW w:w="7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Post-Combination Exchangeable Common Shares</w:t>
            </w: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551,072</w:t>
            </w:r>
          </w:p>
        </w:tc>
        <w:tc>
          <w:tcPr>
            <w:tcW w:w="80" w:type="dxa"/>
            <w:vAlign w:val="bottom"/>
            <w:tcBorders>
              <w:top w:val="single" w:sz="8" w:color="CCEEFF"/>
            </w:tcBorders>
            <w:shd w:val="clear" w:color="auto" w:fill="CCEEFF"/>
          </w:tcPr>
          <w:p>
            <w:pPr>
              <w:spacing w:after="0"/>
              <w:rPr>
                <w:sz w:val="19"/>
                <w:szCs w:val="19"/>
                <w:color w:val="auto"/>
              </w:rPr>
            </w:pP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712,982</w:t>
            </w:r>
          </w:p>
        </w:tc>
      </w:tr>
      <w:tr>
        <w:trPr>
          <w:trHeight w:val="229"/>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stock options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2,326,849</w:t>
            </w:r>
          </w:p>
        </w:tc>
        <w:tc>
          <w:tcPr>
            <w:tcW w:w="8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2,685,922</w:t>
            </w:r>
          </w:p>
        </w:tc>
      </w:tr>
      <w:tr>
        <w:trPr>
          <w:trHeight w:val="22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restricted stock units (“RSUs”)</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243,370</w:t>
            </w:r>
          </w:p>
        </w:tc>
        <w:tc>
          <w:tcPr>
            <w:tcW w:w="8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359,175</w:t>
            </w:r>
          </w:p>
        </w:tc>
      </w:tr>
      <w:tr>
        <w:trPr>
          <w:trHeight w:val="230"/>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market stock units (“MSUs”)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531,996</w:t>
            </w:r>
          </w:p>
        </w:tc>
        <w:tc>
          <w:tcPr>
            <w:tcW w:w="8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567,500</w:t>
            </w:r>
          </w:p>
        </w:tc>
      </w:tr>
      <w:tr>
        <w:trPr>
          <w:trHeight w:val="22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Public Warrants liability</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724,997</w:t>
            </w:r>
          </w:p>
        </w:tc>
        <w:tc>
          <w:tcPr>
            <w:tcW w:w="8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724,997</w:t>
            </w:r>
          </w:p>
        </w:tc>
      </w:tr>
      <w:tr>
        <w:trPr>
          <w:trHeight w:val="230"/>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issuable pursuant to Earn Out Liability</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725,000</w:t>
            </w:r>
          </w:p>
        </w:tc>
        <w:tc>
          <w:tcPr>
            <w:tcW w:w="8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725,000</w:t>
            </w:r>
          </w:p>
        </w:tc>
      </w:tr>
      <w:tr>
        <w:trPr>
          <w:trHeight w:val="22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Delayed Draw Notes warrants liability</w:t>
            </w:r>
          </w:p>
        </w:tc>
        <w:tc>
          <w:tcPr>
            <w:tcW w:w="2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123,750</w:t>
            </w:r>
          </w:p>
        </w:tc>
      </w:tr>
      <w:tr>
        <w:trPr>
          <w:trHeight w:val="229"/>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former Series C and D preferred stock warrants liability</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21,281</w:t>
            </w:r>
          </w:p>
        </w:tc>
        <w:tc>
          <w:tcPr>
            <w:tcW w:w="8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21,281</w:t>
            </w: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available for grant under the Employee Stock Purchase Plan</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463,930</w:t>
            </w:r>
          </w:p>
        </w:tc>
        <w:tc>
          <w:tcPr>
            <w:tcW w:w="8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353,024</w:t>
            </w:r>
          </w:p>
        </w:tc>
      </w:tr>
      <w:tr>
        <w:trPr>
          <w:trHeight w:val="229"/>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available for grant under the 2021 Equity Incentive Plan</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1,548,488</w:t>
            </w:r>
          </w:p>
        </w:tc>
        <w:tc>
          <w:tcPr>
            <w:tcW w:w="8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569,715</w:t>
            </w: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available for grant under the 2023 Inducement Equity Incentive Plan</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166,524</w:t>
            </w:r>
          </w:p>
        </w:tc>
        <w:tc>
          <w:tcPr>
            <w:tcW w:w="80" w:type="dxa"/>
            <w:vAlign w:val="bottom"/>
            <w:shd w:val="clear" w:color="auto" w:fill="CCEEFF"/>
          </w:tcPr>
          <w:p>
            <w:pPr>
              <w:spacing w:after="0"/>
              <w:rPr>
                <w:sz w:val="19"/>
                <w:szCs w:val="19"/>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141,800</w:t>
            </w:r>
          </w:p>
        </w:tc>
      </w:tr>
      <w:tr>
        <w:trPr>
          <w:trHeight w:val="223"/>
        </w:trPr>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common stock reserved for future issuance</w:t>
            </w: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7,303,507</w:t>
            </w:r>
          </w:p>
        </w:tc>
        <w:tc>
          <w:tcPr>
            <w:tcW w:w="80" w:type="dxa"/>
            <w:vAlign w:val="bottom"/>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6,985,146</w:t>
            </w:r>
          </w:p>
        </w:tc>
      </w:tr>
      <w:tr>
        <w:trPr>
          <w:trHeight w:val="21"/>
        </w:trPr>
        <w:tc>
          <w:tcPr>
            <w:tcW w:w="704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Equity Incentive Plans and Stock-Based Compensation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stock-based compensation expense is as follows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3580" w:type="dxa"/>
            <w:vAlign w:val="bottom"/>
            <w:gridSpan w:val="6"/>
          </w:tcPr>
          <w:p>
            <w:pPr>
              <w:ind w:left="46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300" w:type="dxa"/>
            <w:vAlign w:val="bottom"/>
          </w:tcPr>
          <w:p>
            <w:pPr>
              <w:spacing w:after="0"/>
              <w:rPr>
                <w:sz w:val="20"/>
                <w:szCs w:val="20"/>
                <w:color w:val="auto"/>
              </w:rPr>
            </w:pPr>
          </w:p>
        </w:tc>
        <w:tc>
          <w:tcPr>
            <w:tcW w:w="3160" w:type="dxa"/>
            <w:vAlign w:val="bottom"/>
            <w:gridSpan w:val="4"/>
          </w:tcPr>
          <w:p>
            <w:pPr>
              <w:jc w:val="right"/>
              <w:ind w:right="410"/>
              <w:spacing w:after="0"/>
              <w:rPr>
                <w:sz w:val="20"/>
                <w:szCs w:val="20"/>
                <w:color w:val="auto"/>
              </w:rPr>
            </w:pPr>
            <w:r>
              <w:rPr>
                <w:rFonts w:ascii="Times New Roman" w:cs="Times New Roman" w:eastAsia="Times New Roman" w:hAnsi="Times New Roman"/>
                <w:sz w:val="18"/>
                <w:szCs w:val="18"/>
                <w:color w:val="auto"/>
              </w:rPr>
              <w:t>Nine months ended September 30,</w:t>
            </w:r>
          </w:p>
        </w:tc>
      </w:tr>
      <w:tr>
        <w:trPr>
          <w:trHeight w:val="223"/>
        </w:trPr>
        <w:tc>
          <w:tcPr>
            <w:tcW w:w="4200" w:type="dxa"/>
            <w:vAlign w:val="bottom"/>
            <w:tcBorders>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58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Operations and support</w:t>
            </w:r>
          </w:p>
        </w:tc>
        <w:tc>
          <w:tcPr>
            <w:tcW w:w="112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6,282</w:t>
            </w:r>
          </w:p>
        </w:tc>
      </w:tr>
      <w:tr>
        <w:trPr>
          <w:trHeight w:val="230"/>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14,572</w:t>
            </w:r>
          </w:p>
        </w:tc>
      </w:tr>
      <w:tr>
        <w:trPr>
          <w:trHeight w:val="23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2,824</w:t>
            </w:r>
          </w:p>
        </w:tc>
      </w:tr>
      <w:tr>
        <w:trPr>
          <w:trHeight w:val="229"/>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w:t>
            </w:r>
          </w:p>
        </w:tc>
      </w:tr>
      <w:tr>
        <w:trPr>
          <w:trHeight w:val="248"/>
        </w:trPr>
        <w:tc>
          <w:tcPr>
            <w:tcW w:w="4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120" w:type="dxa"/>
            <w:vAlign w:val="bottom"/>
            <w:tcBorders>
              <w:bottom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23,982</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18"/>
          <w:szCs w:val="18"/>
          <w:u w:val="single" w:color="auto"/>
          <w:color w:val="auto"/>
        </w:rPr>
        <w:t>Stock Options</w:t>
      </w:r>
      <w:r>
        <w:rPr>
          <w:rFonts w:ascii="Times New Roman" w:cs="Times New Roman" w:eastAsia="Times New Roman" w:hAnsi="Times New Roman"/>
          <w:sz w:val="18"/>
          <w:szCs w:val="18"/>
          <w:color w:val="auto"/>
        </w:rPr>
        <w:t>: The Company measures stock-based compensation expense for stock options at the grant date fair value of the award and recognizes the expense on a straight-line basis over the requisite service period, which is generally the vesting period. The fair value of stock options is estimated using the Black-Scholes option-pricing model. During the three and nine months ended September 30, 2024, the Company recorded stock-based compensation expense from stock options of approximately $0.5 million and $2.0 million, respectively. During the three and nine months ended September 30, 2023, the Company recorded stock-based compensation expense from stock options of approximately $2.8 million and $17.2 million, respectively.</w:t>
      </w:r>
    </w:p>
    <w:p>
      <w:pPr>
        <w:spacing w:after="0" w:line="21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recognizes only the portion of the option award granted that is ultimately expected to vest as compensation expense and elects to recognize gross share-based compensation expense with actual forfeitures as they occur.</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Fair Value of Stock Options</w:t>
      </w:r>
      <w:r>
        <w:rPr>
          <w:rFonts w:ascii="Times New Roman" w:cs="Times New Roman" w:eastAsia="Times New Roman" w:hAnsi="Times New Roman"/>
          <w:sz w:val="18"/>
          <w:szCs w:val="18"/>
          <w:color w:val="auto"/>
        </w:rPr>
        <w:t>: The fair value of each stock option award is estimated using the Black-Scholes option-pricing model, which uses the fair value of the Company’s common stock and requires the input of the following subjective assumptions:</w:t>
      </w:r>
    </w:p>
    <w:p>
      <w:pPr>
        <w:spacing w:after="0" w:line="187" w:lineRule="exact"/>
        <w:rPr>
          <w:sz w:val="20"/>
          <w:szCs w:val="20"/>
          <w:color w:val="auto"/>
        </w:rPr>
      </w:pPr>
    </w:p>
    <w:p>
      <w:pPr>
        <w:ind w:left="6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The expected term for options granted to employees, officers, and directors is based on the historical pattern of option exercise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behavior and the period of time they are expected to be outstanding.</w:t>
      </w:r>
    </w:p>
    <w:p>
      <w:pPr>
        <w:spacing w:after="0" w:line="185" w:lineRule="exact"/>
        <w:rPr>
          <w:sz w:val="20"/>
          <w:szCs w:val="20"/>
          <w:color w:val="auto"/>
        </w:rPr>
      </w:pPr>
    </w:p>
    <w:p>
      <w:pPr>
        <w:ind w:left="6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The expected volatility is based on the average volatility of similar public entities within the Company’s peer group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stock has not been publicly trading for a long enough period to rely on its own expected volatility.</w:t>
      </w:r>
    </w:p>
    <w:p>
      <w:pPr>
        <w:spacing w:after="0" w:line="185" w:lineRule="exact"/>
        <w:rPr>
          <w:sz w:val="20"/>
          <w:szCs w:val="20"/>
          <w:color w:val="auto"/>
        </w:rPr>
      </w:pPr>
    </w:p>
    <w:p>
      <w:pPr>
        <w:ind w:left="6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Expected Dividends. </w:t>
      </w:r>
      <w:r>
        <w:rPr>
          <w:rFonts w:ascii="Times New Roman" w:cs="Times New Roman" w:eastAsia="Times New Roman" w:hAnsi="Times New Roman"/>
          <w:sz w:val="18"/>
          <w:szCs w:val="18"/>
          <w:color w:val="auto"/>
        </w:rPr>
        <w:t>The dividend assumption is based on the Company’s historical experience. To date, Company has not paid any dividends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common stock.</w:t>
      </w:r>
    </w:p>
    <w:p>
      <w:pPr>
        <w:spacing w:after="0" w:line="185" w:lineRule="exact"/>
        <w:rPr>
          <w:sz w:val="20"/>
          <w:szCs w:val="20"/>
          <w:color w:val="auto"/>
        </w:rPr>
      </w:pPr>
    </w:p>
    <w:p>
      <w:pPr>
        <w:ind w:left="6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The risk-free interest rate used in the valuation is the implied yield currently available on the United States Treasury zero-coupon issues, with a remaining term equal to the expected life term of the Company’s options.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key assumptions used to determine the fair value of the Company’s stock options granted to employees, non-employees, officers, and directors: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40" w:type="dxa"/>
            <w:vAlign w:val="bottom"/>
          </w:tcPr>
          <w:p>
            <w:pPr>
              <w:spacing w:after="0"/>
              <w:rPr>
                <w:sz w:val="20"/>
                <w:szCs w:val="20"/>
                <w:color w:val="auto"/>
              </w:rPr>
            </w:pPr>
          </w:p>
        </w:tc>
        <w:tc>
          <w:tcPr>
            <w:tcW w:w="352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3380" w:type="dxa"/>
            <w:vAlign w:val="bottom"/>
            <w:gridSpan w:val="3"/>
          </w:tcPr>
          <w:p>
            <w:pPr>
              <w:jc w:val="right"/>
              <w:ind w:right="350"/>
              <w:spacing w:after="0"/>
              <w:rPr>
                <w:sz w:val="20"/>
                <w:szCs w:val="20"/>
                <w:color w:val="auto"/>
              </w:rPr>
            </w:pPr>
            <w:r>
              <w:rPr>
                <w:rFonts w:ascii="Times New Roman" w:cs="Times New Roman" w:eastAsia="Times New Roman" w:hAnsi="Times New Roman"/>
                <w:sz w:val="18"/>
                <w:szCs w:val="18"/>
                <w:color w:val="auto"/>
              </w:rPr>
              <w:t>Nine months ended September 30,</w:t>
            </w:r>
          </w:p>
        </w:tc>
      </w:tr>
      <w:tr>
        <w:trPr>
          <w:trHeight w:val="223"/>
        </w:trPr>
        <w:tc>
          <w:tcPr>
            <w:tcW w:w="4340" w:type="dxa"/>
            <w:vAlign w:val="bottom"/>
            <w:tcBorders>
              <w:bottom w:val="single" w:sz="8" w:color="CCEEFF"/>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2024*</w:t>
            </w:r>
          </w:p>
        </w:tc>
        <w:tc>
          <w:tcPr>
            <w:tcW w:w="4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74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Borders>
              <w:bottom w:val="single" w:sz="8" w:color="CCEEFF"/>
            </w:tcBorders>
          </w:tcPr>
          <w:p>
            <w:pPr>
              <w:spacing w:after="0"/>
              <w:rPr>
                <w:sz w:val="19"/>
                <w:szCs w:val="19"/>
                <w:color w:val="auto"/>
              </w:rPr>
            </w:pPr>
          </w:p>
        </w:tc>
        <w:tc>
          <w:tcPr>
            <w:tcW w:w="156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17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200" w:type="dxa"/>
            <w:vAlign w:val="bottom"/>
            <w:shd w:val="clear" w:color="auto" w:fill="CCEEFF"/>
          </w:tcPr>
          <w:p>
            <w:pPr>
              <w:spacing w:after="0"/>
              <w:rPr>
                <w:sz w:val="19"/>
                <w:szCs w:val="19"/>
                <w:color w:val="auto"/>
              </w:rPr>
            </w:pPr>
          </w:p>
        </w:tc>
        <w:tc>
          <w:tcPr>
            <w:tcW w:w="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0"/>
              </w:rPr>
              <w:t>n/a</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6.15 - 6.16</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w w:val="99"/>
              </w:rPr>
              <w:t>n/a</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6.15 - 6.22</w:t>
            </w:r>
          </w:p>
        </w:tc>
      </w:tr>
      <w:tr>
        <w:trPr>
          <w:trHeight w:val="230"/>
        </w:trPr>
        <w:tc>
          <w:tcPr>
            <w:tcW w:w="5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n/a</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80" w:type="dxa"/>
            <w:vAlign w:val="bottom"/>
          </w:tcPr>
          <w:p>
            <w:pPr>
              <w:spacing w:after="0"/>
              <w:rPr>
                <w:sz w:val="19"/>
                <w:szCs w:val="19"/>
                <w:color w:val="auto"/>
              </w:rPr>
            </w:pPr>
          </w:p>
        </w:tc>
        <w:tc>
          <w:tcPr>
            <w:tcW w:w="166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n/a</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 - 51.2%</w:t>
            </w:r>
          </w:p>
        </w:tc>
      </w:tr>
      <w:tr>
        <w:trPr>
          <w:trHeight w:val="229"/>
        </w:trPr>
        <w:tc>
          <w:tcPr>
            <w:tcW w:w="5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n/a</w:t>
            </w:r>
          </w:p>
        </w:tc>
        <w:tc>
          <w:tcPr>
            <w:tcW w:w="1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660" w:type="dxa"/>
            <w:vAlign w:val="bottom"/>
            <w:gridSpan w:val="2"/>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n/a</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5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n/a</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 - 4.40%</w:t>
            </w:r>
          </w:p>
        </w:tc>
        <w:tc>
          <w:tcPr>
            <w:tcW w:w="80" w:type="dxa"/>
            <w:vAlign w:val="bottom"/>
          </w:tcPr>
          <w:p>
            <w:pPr>
              <w:spacing w:after="0"/>
              <w:rPr>
                <w:sz w:val="19"/>
                <w:szCs w:val="19"/>
                <w:color w:val="auto"/>
              </w:rPr>
            </w:pPr>
          </w:p>
        </w:tc>
        <w:tc>
          <w:tcPr>
            <w:tcW w:w="166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n/a</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 - 4.40%</w:t>
            </w:r>
          </w:p>
        </w:tc>
      </w:tr>
      <w:tr>
        <w:trPr>
          <w:trHeight w:val="229"/>
        </w:trPr>
        <w:tc>
          <w:tcPr>
            <w:tcW w:w="5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grant-date fair value per share</w:t>
            </w:r>
          </w:p>
        </w:tc>
        <w:tc>
          <w:tcPr>
            <w:tcW w:w="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n/a</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$4.00 - $5.41</w:t>
            </w:r>
          </w:p>
        </w:tc>
        <w:tc>
          <w:tcPr>
            <w:tcW w:w="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n/a</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$4.00 - $13.89</w:t>
            </w: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*n/a - The Company did not have any grant activity in the three and nine months ended September 30, 2024</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and Market-Based Equity Awards</w:t>
      </w:r>
    </w:p>
    <w:p>
      <w:pPr>
        <w:spacing w:after="0" w:line="25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Company maintains certain performance and market-based equity awards. Refer to Note 11, </w:t>
      </w:r>
      <w:r>
        <w:rPr>
          <w:rFonts w:ascii="Times New Roman" w:cs="Times New Roman" w:eastAsia="Times New Roman" w:hAnsi="Times New Roman"/>
          <w:sz w:val="18"/>
          <w:szCs w:val="18"/>
          <w:i w:val="1"/>
          <w:iCs w:val="1"/>
          <w:color w:val="auto"/>
        </w:rPr>
        <w:t>Equity Incentive Plans and Stock-Based Compensation</w:t>
      </w:r>
      <w:r>
        <w:rPr>
          <w:rFonts w:ascii="Times New Roman" w:cs="Times New Roman" w:eastAsia="Times New Roman" w:hAnsi="Times New Roman"/>
          <w:sz w:val="18"/>
          <w:szCs w:val="18"/>
          <w:color w:val="auto"/>
        </w:rPr>
        <w:t>, of the Annual Report for details of the awards. From the awards, the Company recognized $0.2 million and $0.8 million for the three and nine months ended September 30, 2024, respectively, and $0.5 million and $1.5 million for the three and nine months ended September 30, 2023, respectively.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RSUs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fair value of the Company’s RSUs is expensed ratably over the vesting period. The Company’s RSUs generally vest over four years, with a cliff equal to one-fourth of the award after the first year, and then quarterly thereafter over the remaining service period. For the three and nine months ended September 30, 2024, the Company recorded stock-based compensation expense from RSUs of approximately $0.9 million and $3.1 million, respectively. For the three and nine months ended September 30, 2023, the Company recorded stock-based compensation expense from RSUs of approximately $1.4 million and $4.7 million, respectively.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MSUs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May 2022, the Company issued MSUs to certain key executives in accordance with the Company’s 2021 Management Equity Incentive Plan. One-sixth of the MSUs vest upon (including prior to but contingent on) the occurrence of each of six distinct triggering events, including if certain share price targets are met, within the five-year period ending July 17, 2027.</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determined the grant-date fair value of the MSUs using a Monte Carlo simulation. The Company recognizes stock-based compensation for the MSUs over the requisite service period, which is approximately four years, using the accelerated attribution method. During the three and nine months ended September 30, 2024, the Company did not grant any MSUs. During the three and nine months ended September 30, 2024, the Company recognized approximately $0.1</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million and $0.5 million, respectively, in stock-based compensation expense from MSUs. For the three and nine months ended September 30, 2023, the Company recognized approximately $0.2 million and $0.6 million, respectively, in stock-based compensation expense from MSUs.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Net Income (Loss) per Common Share</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Basic net income (loss) per share is computed by dividing the net income (loss) by the weighted-average number of shares of common stock outstanding during the period, less weighted-average shares subject to repurchase. The diluted net income (loss) per share is computed by giving effect to all potentially dilutive securities outstanding for the period. For periods in which the Company reports net losses, diluted net income (loss) per share attributable to common stockholders is the same as basic net income (loss) per share attributable to common stockholders, because potentially dilutive common shares are anti-dilutive.</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computation of basic and diluted net income (loss) per share (in thousands, except number of shares and per share information):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320" w:type="dxa"/>
            <w:vAlign w:val="bottom"/>
          </w:tcPr>
          <w:p>
            <w:pPr>
              <w:spacing w:after="0"/>
              <w:rPr>
                <w:sz w:val="20"/>
                <w:szCs w:val="20"/>
                <w:color w:val="auto"/>
              </w:rPr>
            </w:pPr>
          </w:p>
        </w:tc>
        <w:tc>
          <w:tcPr>
            <w:tcW w:w="3180" w:type="dxa"/>
            <w:vAlign w:val="bottom"/>
            <w:gridSpan w:val="4"/>
          </w:tcPr>
          <w:p>
            <w:pPr>
              <w:jc w:val="right"/>
              <w:ind w:right="410"/>
              <w:spacing w:after="0"/>
              <w:rPr>
                <w:sz w:val="20"/>
                <w:szCs w:val="20"/>
                <w:color w:val="auto"/>
              </w:rPr>
            </w:pPr>
            <w:r>
              <w:rPr>
                <w:rFonts w:ascii="Times New Roman" w:cs="Times New Roman" w:eastAsia="Times New Roman" w:hAnsi="Times New Roman"/>
                <w:sz w:val="18"/>
                <w:szCs w:val="18"/>
                <w:color w:val="auto"/>
              </w:rPr>
              <w:t>Nine months ended September 30,</w:t>
            </w:r>
          </w:p>
        </w:tc>
      </w:tr>
      <w:tr>
        <w:trPr>
          <w:trHeight w:val="223"/>
        </w:trPr>
        <w:tc>
          <w:tcPr>
            <w:tcW w:w="416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2023</w:t>
            </w:r>
          </w:p>
        </w:tc>
      </w:tr>
      <w:tr>
        <w:trPr>
          <w:trHeight w:val="21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29"/>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(179,391)</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(57,630)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(197,131)</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(183,679)</w:t>
            </w:r>
          </w:p>
        </w:tc>
      </w:tr>
      <w:tr>
        <w:trPr>
          <w:trHeight w:val="22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Accretion to redeemable value of preferred stock</w:t>
            </w: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common stockholders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(205,282)</w:t>
            </w:r>
          </w:p>
        </w:tc>
        <w:tc>
          <w:tcPr>
            <w:tcW w:w="8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(57,630)</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(223,022)</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(183,679)</w:t>
            </w: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23"/>
        </w:trPr>
        <w:tc>
          <w:tcPr>
            <w:tcW w:w="4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175"/>
        </w:trPr>
        <w:tc>
          <w:tcPr>
            <w:tcW w:w="41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 average basic and diluted common shares</w:t>
            </w:r>
          </w:p>
        </w:tc>
        <w:tc>
          <w:tcPr>
            <w:tcW w:w="3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43"/>
        </w:trPr>
        <w:tc>
          <w:tcPr>
            <w:tcW w:w="4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w:t>
            </w:r>
          </w:p>
        </w:tc>
        <w:tc>
          <w:tcPr>
            <w:tcW w:w="3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11,521,492</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10,960,030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11,235,725</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10,908,011</w:t>
            </w:r>
          </w:p>
        </w:tc>
      </w:tr>
      <w:tr>
        <w:trPr>
          <w:trHeight w:val="24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common share:</w:t>
            </w:r>
          </w:p>
        </w:tc>
        <w:tc>
          <w:tcPr>
            <w:tcW w:w="3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4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4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w:t>
            </w:r>
          </w:p>
        </w:tc>
      </w:tr>
    </w:tbl>
    <w:p>
      <w:pPr>
        <w:spacing w:after="0" w:line="3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potential common shares outstanding were excluded from the computation of diluted net loss per share because including them would have been anti-dilutive: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40" w:type="dxa"/>
            <w:vAlign w:val="bottom"/>
          </w:tcPr>
          <w:p>
            <w:pPr>
              <w:spacing w:after="0"/>
              <w:rPr>
                <w:sz w:val="20"/>
                <w:szCs w:val="20"/>
                <w:color w:val="auto"/>
              </w:rPr>
            </w:pPr>
          </w:p>
        </w:tc>
        <w:tc>
          <w:tcPr>
            <w:tcW w:w="2380" w:type="dxa"/>
            <w:vAlign w:val="bottom"/>
            <w:tcBorders>
              <w:bottom w:val="single" w:sz="8" w:color="auto"/>
            </w:tcBorders>
            <w:gridSpan w:val="3"/>
          </w:tcPr>
          <w:p>
            <w:pPr>
              <w:ind w:left="1240"/>
              <w:spacing w:after="0"/>
              <w:rPr>
                <w:sz w:val="20"/>
                <w:szCs w:val="20"/>
                <w:color w:val="auto"/>
              </w:rPr>
            </w:pPr>
            <w:r>
              <w:rPr>
                <w:rFonts w:ascii="Times New Roman" w:cs="Times New Roman" w:eastAsia="Times New Roman" w:hAnsi="Times New Roman"/>
                <w:sz w:val="18"/>
                <w:szCs w:val="18"/>
                <w:color w:val="auto"/>
              </w:rPr>
              <w:t>September 30,</w:t>
            </w:r>
          </w:p>
        </w:tc>
        <w:tc>
          <w:tcPr>
            <w:tcW w:w="1120" w:type="dxa"/>
            <w:vAlign w:val="bottom"/>
            <w:tcBorders>
              <w:bottom w:val="single" w:sz="8" w:color="auto"/>
            </w:tcBorders>
          </w:tcPr>
          <w:p>
            <w:pPr>
              <w:spacing w:after="0"/>
              <w:rPr>
                <w:sz w:val="20"/>
                <w:szCs w:val="20"/>
                <w:color w:val="auto"/>
              </w:rPr>
            </w:pPr>
          </w:p>
        </w:tc>
      </w:tr>
      <w:tr>
        <w:trPr>
          <w:trHeight w:val="223"/>
        </w:trPr>
        <w:tc>
          <w:tcPr>
            <w:tcW w:w="774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2,326,849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2,611,093</w:t>
            </w:r>
          </w:p>
        </w:tc>
      </w:tr>
      <w:tr>
        <w:trPr>
          <w:trHeight w:val="23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subject to repurchase or forfeiture</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75,134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76,157</w:t>
            </w:r>
          </w:p>
        </w:tc>
      </w:tr>
      <w:tr>
        <w:trPr>
          <w:trHeight w:val="23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RSUs</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243,370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580,999</w:t>
            </w:r>
          </w:p>
        </w:tc>
      </w:tr>
      <w:tr>
        <w:trPr>
          <w:trHeight w:val="22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MSUs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531,996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377,825</w:t>
            </w:r>
          </w:p>
        </w:tc>
      </w:tr>
      <w:tr>
        <w:trPr>
          <w:trHeight w:val="23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Exchangeable shares</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551,072</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963,043</w:t>
            </w:r>
          </w:p>
        </w:tc>
      </w:tr>
      <w:tr>
        <w:trPr>
          <w:trHeight w:val="223"/>
        </w:trPr>
        <w:tc>
          <w:tcPr>
            <w:tcW w:w="7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common stock equivalents</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3,728,421</w:t>
            </w:r>
          </w:p>
        </w:tc>
        <w:tc>
          <w:tcPr>
            <w:tcW w:w="1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4,609,117</w:t>
            </w:r>
          </w:p>
        </w:tc>
      </w:tr>
      <w:tr>
        <w:trPr>
          <w:trHeight w:val="20"/>
        </w:trPr>
        <w:tc>
          <w:tcPr>
            <w:tcW w:w="77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Commitments and Contingencies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leases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Note 8,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for commitments related to our operating leases.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Surety Bonds</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portion of the Company’s leases are supported by surety bonds provided by affiliates of certain insurance companies. At September 30, 2024, the Company had commitments from six surety providers in the amount of $39.2 million, of which $16.6 million was outstanding. The availability, terms and conditions, and pricing of bonding capacity are dependent on, among other things, continued financial strength and stability of the insurance company affiliates providing the bonding capacity, general availability of such capacity, and the Company’s corporate credit rating.</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and Regulatory Matters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been and expects to continue to become involved in litigation or other legal proceedings from time to time, including the matters described below. The Company routinely reviews the status of each significant matter and assesses its potential financial exposure. Due to the unpredictable nature and inherent uncertainties involved, litigation and other legal proceedings can have an adverse impact on the Company because of defense and settlement costs, diversion of management resources, possible restrictions on the business as a result of settlement or adverse outcomes, and other factors.</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establishes an accrued liability for loss contingencies related to legal matters when a loss is both probable and reasonably estimable. These accruals represent management’s best estimate of probable losses. The Company recorded an estimated accrual of $18.9 million and $17.3 million in the condensed consolidated balance sheets as of September 30, 2024 and December 31, 2023, respectively. Management’s views and estimates related to these matters may change in the future, as new events and circumstances arise and the matters continue to develop. Until the final resolution of legal matters, there may be an exposure to losses in excess of the amounts accrued. With respect to outstanding legal matters and based on management’s current knowledge, we do not believe that the amount or range of reasonably possible losses will, either individually or in the aggregate, have a material adverse effect on the Company’s business, results of operations, financial condition, and cash flows.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New York City Litigation</w:t>
      </w:r>
    </w:p>
    <w:p>
      <w:pPr>
        <w:spacing w:after="0" w:line="25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February 2020, the Company was informed about an investigation underway by the New York City Department of Health and Mental Hygiene relating to possible Legionella bacteria contamination in the water supply at the Company’s property located at 20 Broad Street, New York, NY (the “Broad Street Property”). Due to the failure of the owner of the Broad Street Property (the “Broad Street Landlord”) to address the Legionella bacteria contamination and the associated health risks posed to guests, the Company withheld payment of rent to the Broad Street Landlord on grounds of, among other reasons, constructive eviction. On July 30, 2020, the Broad Street Landlord sued Sonder USA Inc., Sonder Canada Inc., and Sonder Holdings Inc. (the “Sonder Parties”) for breach of the lease, seeking no less than $3.9 million in damages. The Sonder Parties filed counterclaims against the Broad Street Landlord and the property management company for breach of contract, seeking significant damages. The Broad Street Landlord filed a motion for summary judgment. The hearing and oral argument for the summary judgment motion occurred on December 21, 2021. On October 13, 2023, the court issued an order granting the summary judgment motion with respect to liability for the claim for breach of guaranty against Sonder Canada Inc., the claim for breach of contract against Sonder USA Inc., and reasonable attorney’s fees; dismissing the Sonder Parties’ counterclaims; and ordering a trial for the amount of damages. On November 13, 2023, the Sonder Parties filed a notice of appeal of the October 13, 2023 court order on liability. On May 9, 2024, the appellate court affirmed the trial court’s order as to liability, but directed the trial court to allow the Sonder Parties the right to conduct discovery concerning the amount of the Broad Street Landlord’s alleged damages. Discovery has commenced in the trial court regarding the Broad Street Landlord’s alleged damages. A trial date to determine damages has not yet been set. On June 12, 2024, the Sonder Parties filed a motion in the appellate court seeking leave to reargue aspects of the appellate court’s order, or alternatively, for leave to appeal the order. On September 26, 2024, the appellate court granted the Sonder Parties’ motion to reargue and issued an order reversing the portion of the trial court’s decision dismissing the Sonder Parties’ breach of contract claim related to the Broad Street Landlord’s failure to maintain the plumbing systems in good repair for the period prior to when the Sonder Parties began withholding payment of rent. On October 21, 2024, the Broad Street Landlord filed a motion seeking leave to amend its complaint in order to assert $37 million in damages. Oral</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argument on that motion is scheduled to occur in the trial court on March 5, 2025, and discovery is stayed pending the court’s determination of the motion.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Sonder Stockholder Litigation</w:t>
      </w:r>
    </w:p>
    <w:p>
      <w:pPr>
        <w:spacing w:after="0" w:line="25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On April 11, 2024, a putative securities class action lawsuit titled </w:t>
      </w:r>
      <w:r>
        <w:rPr>
          <w:rFonts w:ascii="Times New Roman" w:cs="Times New Roman" w:eastAsia="Times New Roman" w:hAnsi="Times New Roman"/>
          <w:sz w:val="18"/>
          <w:szCs w:val="18"/>
          <w:i w:val="1"/>
          <w:iCs w:val="1"/>
          <w:color w:val="auto"/>
        </w:rPr>
        <w:t>Duffaydar v. Sonder Holdings Inc., et al.</w:t>
      </w:r>
      <w:r>
        <w:rPr>
          <w:rFonts w:ascii="Times New Roman" w:cs="Times New Roman" w:eastAsia="Times New Roman" w:hAnsi="Times New Roman"/>
          <w:sz w:val="18"/>
          <w:szCs w:val="18"/>
          <w:color w:val="auto"/>
        </w:rPr>
        <w:t>, Case No. 24-cv-2952 was filed in the U.S. District Court for the Central District of California naming the Company and certain of its current and former officers and directors as defendants. A lead plaintiff and lead counsel were appointed, and an amended complaint was filed on December 23, 2024. The amended complaint purports to bring suit on behalf of stockholders who purchased or otherwise acquired the Company’s securities between March 16, 2023 and March 15, 2024, and alleges that the defendants made false and misleading statements about the Company’s financial results and condition, including the Company’s valuation of operating lease right of use assets, in violation of Sections 10(b) and 20(a) of the Exchange Act. The amended complaint seeks unspecified compensatory damages, fees and costs. The Company cannot reasonably estimate the amount of any possible financial loss that could result from this matter. The Company believes the plaintiffs’ allegations are without merit and intends to defend the action vigorously.</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On January 28, 2025, a putative stockholder derivative lawsuit titled </w:t>
      </w:r>
      <w:r>
        <w:rPr>
          <w:rFonts w:ascii="Times New Roman" w:cs="Times New Roman" w:eastAsia="Times New Roman" w:hAnsi="Times New Roman"/>
          <w:sz w:val="18"/>
          <w:szCs w:val="18"/>
          <w:i w:val="1"/>
          <w:iCs w:val="1"/>
          <w:color w:val="auto"/>
        </w:rPr>
        <w:t>Versen v. Davidson, et al.</w:t>
      </w:r>
      <w:r>
        <w:rPr>
          <w:rFonts w:ascii="Times New Roman" w:cs="Times New Roman" w:eastAsia="Times New Roman" w:hAnsi="Times New Roman"/>
          <w:sz w:val="18"/>
          <w:szCs w:val="18"/>
          <w:color w:val="auto"/>
        </w:rPr>
        <w:t>, Case No. 25-cv-761 was filed in the U.S. District Court for the Central District of California naming certain of the Company’s current and former officers and directors as defendants and naming the Company as a nominal defendant. The derivative complaint is based on allegations similar to those in the Duffaydar class action and purports to assert claims against the individual defendants for making false and misleading statements about the Company’s financial results and condition in violation of Section 14(a) of the Exchange Act and for breach of their fiduciary duties, unjust enrichment, abuse of control, gross mismanagement, waste of corporate assets and contribution under Sections 10(b) and 21D of the Exchange Act. The plaintiff seeks corporate reforms, unspecified damages and restitution, and fees and costs. The Company cannot reasonably estimate the amount of any possible financial loss that could result from this matter.</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GMII Litigation</w:t>
      </w:r>
    </w:p>
    <w:p>
      <w:pPr>
        <w:spacing w:after="0" w:line="25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On December 23, 2024, a putative stockholder of GMII filed a purported class action lawsuit titled </w:t>
      </w:r>
      <w:r>
        <w:rPr>
          <w:rFonts w:ascii="Times New Roman" w:cs="Times New Roman" w:eastAsia="Times New Roman" w:hAnsi="Times New Roman"/>
          <w:sz w:val="18"/>
          <w:szCs w:val="18"/>
          <w:i w:val="1"/>
          <w:iCs w:val="1"/>
          <w:color w:val="auto"/>
        </w:rPr>
        <w:t>Porter v. Metropoulos, et al.</w:t>
      </w:r>
      <w:r>
        <w:rPr>
          <w:rFonts w:ascii="Times New Roman" w:cs="Times New Roman" w:eastAsia="Times New Roman" w:hAnsi="Times New Roman"/>
          <w:sz w:val="18"/>
          <w:szCs w:val="18"/>
          <w:color w:val="auto"/>
        </w:rPr>
        <w:t>, Case No. 2024-1336 in the Court of Chancery of the State of Delaware against Gores Metropoulos Sponsor II, the directors and officers of GMII, and two of the Company’s officers. The complaint purports to assert claims for breach of fiduciary duty, aiding and abetting breach of fiduciary duty and unjust enrichment in connection with the merger between GMII and Legacy Sonder and seeks unspecified damages and disgorgement. The Company cannot reasonably estimate the amount of any possible financial loss that could result from this matter.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Lawsuit Settlements</w:t>
      </w:r>
    </w:p>
    <w:p>
      <w:pPr>
        <w:spacing w:after="0" w:line="2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24, 2024, the Company favorably settled two lawsuits related to certain property leases for a total of $7.5 million payable in three tranches. The Company received the first tranche of $2.5 million in July 2024, the second tranche of $2.3 million in November 2024, and the third tranche of $2.7 million in January 2025. The Company recognized the settlement income when it was realized and earned accordingly in the periods of payment receipt.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Contingencies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subject to audit or examination by various domestic and foreign tax authorities with regards to tax matters. Income tax examinations may lead to ordinary course adjustments or proposed adjustments to the Company’s taxes or net operating losses with respect to years under examination as well as subsequent periods. Indirect tax examinations may lead to ordinary course adjustments or proposed adjustments to transaction taxes which may increase operating expenses. The Company establishes an accrued liability for loss contingencies related to tax matters when a loss is both probable and reasonably estimable. These accruals represent management’s best estimate of probable losses.</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June 2019, His Majesty’s Revenue and Customs (“HMRC”) issued notices of determination and decisions that stated that, for the period October 2017 to April 2018, Sonder Europe Limited (“Sonder Europe”) incorrectly accounted for value added taxes (“VAT”) under the Tour Operators’ Margin Scheme (“TOMS”) for Sonder Europe’s leasing of residential apartments in the United Kingdom on long-term contracts and the subsequent short-term rental to travelers. In January 2023, Sonder Europe appealed to the First-Tier Tribunal Tax Chamber (the “FTT”) against HMRC’s notices. On July 5, 2023, the FTT delivered a ruling holding that supplies of accommodation made by Sonder Europe fell within the scope of the TOMS under the relevant VAT regulations. HMRC appealed the FTT’s ruling and on December 3, 2024, the appeal</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was heard in the Upper Tribunal. On January 14, 2025, the Upper Tribunal ruled that the FTT’s decision was wrong, and Sonder Europe was required to account for VAT on the full value of its supplies to travelers, rather than on the margin between the cost to Sonder Europe and the amount paid by travelers. The Company intends to appeal this decision.</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recorded estimated accruals of $14.6 million and $6.8 million, respectively in the taxes payable line item of the condensed consolidated balance sheets as of September 30, 2024 and December 31, 2023, respectively, for such matters.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Changes in tax laws, regulations, administrative practices, principles, and interpretations may impact the Company’s tax contingencies. Due to various factors, including the inherent complexities and uncertainties of the judicial, administrative, and regulatory processes in certain jurisdictions, the timing of the resolution of income tax controversies is highly uncertain, and the amounts ultimately paid, if any, upon resolution of the issues raised by the taxing authorities may differ from the amounts accrued. It is reasonably possible that within the next twelve months the Company will receive additional assessments by various tax authorities or possibly reach resolution of tax controversies in one or more jurisdictions. These assessments or settlements could result in changes to the Company’s contingencies related to positions on prior years’ tax filings. The actual amount of any change could vary significantly depending on the ultimate timing and nature of any settlements, and the range of possible outcomes is not currently estimable.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Indemnifications</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Company has entered into indemnification agreements with all of its directors and executive officers. The indemnification agreements and the Company’s Amended and Restated Bylaws (the “Bylaws”) require the Company to indemnify these individuals to the fullest extent not prohibited by Delaware law. Subject to certain limitations, the indemnification agreements and Bylaws also require the Company to advance expenses incurred. In addition, the Company entered into indemnification agreements with directors and officers of GMII in connection with the consummation of the Business Combination. These indemnification agreements provide these directors and officers with contractual rights to indemnification and advancement of certain expenses arising out of their service as directors and officers of GMII. The Company may be required to provide indemnification under the indemnification agreements or the Bylaws in relation to the legal proceedings described above in Note 12,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There are no claims that management is aware of that could have a material adverse effect on the Company’s business, results of operations, financial condition and cash flows.</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the Company has included limited indemnification provisions under certain agreements with parties with whom it has commercial relations of varying scope and terms with respect to certain matters, including losses arising out of its breach of such agreements or out of intellectual property infringement claims made by third parties. It is not possible to determine the maximum potential loss under these indemnification provisions due to the limited history of prior indemnification claims and the unique facts and circumstances involved in each particular provision. To date, no material costs have been incurred, either individually or collectively, in connection with the Company’s indemnification provisions.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Income Taxes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provision for income taxes for the three months ended September 30, 2024 was a benefit of $0.2 million and was $0.1 million for the three months ended September 30, 2023. The provision for income taxes for the nine months ended September 30, 2024 and 2023 was $0.6 million and $0.1 million, respectively. The difference between the Company’s effective tax rate and the U.S. statutory rate of 21.0% for both periods was primarily due to a full valuation allowance related to the Company’s net deferred tax assets.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Restructuring Activities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 2023, the Company announced a reduction in force plan affecting approximately 14.0% of the corporate workforce. As part of this restructuring, the Company incurred $2.1 million in one-time restructuring costs for the year ended December 31, 2023, all of which had been paid out as of December 31, 2023.</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February 20, 2024, the Company announced an additional reduction in force plan affecting 17% of the corporate workforce. The Company substantially completed these efforts during the first quarter of 2024. Total costs and cash</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expenditures were approximately $3 million in one-time restructuring costs, primarily related to employee severance and benefits costs, and were recognized and substantially paid in the first quarter of 2024.</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restructuring costs are included in restructuring and other charges in the condensed consolidated statements of operations and comprehensive income (loss).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Subsequent Events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Amendments to Articles of Incorporation</w:t>
      </w:r>
    </w:p>
    <w:p>
      <w:pPr>
        <w:spacing w:after="0" w:line="2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October 1, 2024, following the approval of the stockholders at a special meeting of stockholders on September 30, 2024, the Company filed a certificate of amendment to the Certificate of Incorporation with the Secretary of State of the State of Delaware to effect an increase in the number of authorized shares of common stock of the Company, par value $0.0001 per share, effective as of 4:01 p.m., Eastern Time, on October 1, 2024. As of the effective time, the Company’s total number of authorized shares of all classes of capital stock increased from 272,000,000 to 401,809,144. The number of authorized shares of common stock increased from 20,000,000 shares to 149,809,144 shares. The number of authorized shares of special voting common stock remained unchanged, with 2,000,000 shares authorized. The number of authorized shares of preferred stock remained unchanged with 250,000,000 shares authorized. On December 23, 2024, following the approval at the 2024 Annual Meeting, the Company filed a certificate of amendment to the Certificate of Incorporation, as amended, with the Secretary of State of the State of Delaware to effect an increase in the number of authorized shares of capital stock of the Company, effective as of 4:01 p.m. Eastern Time on December 23, 2024. As of the effective time, the Company’s total number of authorized shares of all classes of capital stock increased from 401,809,144 to 409,309,144. The number of authorized shares of common stock increased from 149,809,144 shares to 157,309,144 shares. The number of authorized shares of special voting common stock remained unchanged, with 2,000,000 shares authorized. The number of authorized shares of preferred stock remained unchanged with 250,000,000 shares authorized.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Limited Waiver and Consent Agreement to Note and Warrant Purchase Agreement</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28, 2024, the Company entered into the NPA Waiver to provide for (a) a permanent waiver of any non-compliance resulting from the NPA Waived Matters and (b) the Company’s commitment to, on the date that the Company files its Current Report on Form 8-K disclosing the voting results of the 2024 Annual Meeting, (1) if the Share Increase Proposal is approved at the 2024 Annual Meeting, issue warrants to the Purchasers to purchase an aggregate of (A) 500,000 shares of the Company’s common stock, if the Company elects to issue warrants with an exercise price of $0.01 or (B) 625,000 shares of the Company’s common stock, if the Company elects to issue warrants with an exercise price of $1.00, or (2) if the Share Increase Proposal is not approved at the 2024 Annual Meeting, make a payment to the Purchasers in the aggregate amount of $3.0 million. On December 31, 2024, the Company issued warrants to the Purchasers to purchase an aggregate of 500,000 shares of the Company’s common stock, each with an exercise of $0.01.</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2022 Loan and Security Agreement Waiver</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28, 2024, the Company entered into another waiver agreement with SVB, pursuant to which SVB waived any Default or Event of Default (i) related to covenant non-compliance resulting from management’s conclusion that there is substantial doubt, which is not alleviated, about the Company’s ability to continue as a going concern for at least one year from the date of issuance of these financial statements, (ii) as a result of Borrower entering into and performing its obligations under the Lease Modification Agreement, and (iii) as a result of the NPA Waived Matters.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SVB and its affiliates have engaged in, and may in the future engage in, banking and other commercial dealings in the ordinary course of business with Borrowers or their affiliates. They have received, or may in the future receive, customary fees and commissions for these transactions.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Series A Preferred Stock Issuance</w:t>
      </w:r>
    </w:p>
    <w:p>
      <w:pPr>
        <w:spacing w:after="0" w:line="24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multiple closings in November 2024, we completed the issuance and sale of approximately 28.6 million shares (the “Second Tranche”) of Series A Preferred Stock for cash consideration of approximately $28.6 million, in a private placement pursuant to those certain securities purchase agreements with certain qualified institutional buyers or accredited investors that was previously announced. Including the Second Tranche, the Company has issued an aggregate of approximately 43.3 million shares of Series A Preferred Stock for aggregate cash consideration of approximately $43.3 million in the private placement.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Notice of Delisting</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October 1, 2024, the Company received a letter (the “Staff Determination Letter”) from the Staff of the Listing Qualifications Department (“Staff”) of The Nasdaq Stock Market LLC (“Nasdaq”) notifying the Company that it had filed the Annual Report with the SEC, but that the Company had not filed its Quarterly Report on Form 10-Q for the quarters ended June 30, 2024 (the “Q2 2024 Form 10-Q”) and March 31, 2024 (the “Q1 2024 Form 10-Q,” and collectively, the “Delinquent Filings”) by September 30, 2024, the deadline by which the Company was to file its Delinquent Filings in order to regain compliance with Nasdaq Listing Rule 5250(c)(1) (the “Rule”). The Staff Determination Letter stated that the Staff had determined that the Company’s common stock and warrants would be suspended from The Nasdaq Global Select Market at the opening of business on October 10, 2024, and a Form 25-NSE would be filed with the SEC, which would remove the Company’s securities from listing and registration on The Nasdaq Stock Market. The Staff Determination Letter further noted that the Company may appeal the Staff’s determination to a Hearings Panel (the “Hearings Panel”), pursuant to the procedures set forth in the Nasdaq Listing Rule 5800 Series.</w:t>
      </w:r>
    </w:p>
    <w:p>
      <w:pPr>
        <w:spacing w:after="0" w:line="21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2, 2024, the Company submitted an appeal to Nasdaq requesting a hearing before the Hearings Panel at which it intends to present its plan to regain and thereafter maintain compliance with all applicable listing requirements. The appeal automatically suspends any potential delisting through at least October 23, 2024, 15 calendar days from the date the request for hearing was due. In connection with its request for a hearing, however, the Company has also requested a stay of the suspension of trading and delisting of its common stock and warrants, pending the later hearing and decision of the Hearings Panel. The Company has been informed that hearings are typically scheduled to occur approximately 30-45 days after the date of the hearing request. Although the Company will use all reasonable efforts to regain compliance with the Rule, there can be no assurance that the Company will be able to regain compliance with that rule or will otherwise be in compliance with other Nasdaq listing criteria.</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23, 2024, the Company received a letter from the Staff notifying the Company that the Hearings Panel had granted the Company’s request to stay the suspension of trading and delisting pending a hearing on the merits scheduled to occur on November 14, 2024, and the subsequent decision of the Hearings Panel after the hearing.</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4, 2024, the Company filed the Delinquent Filings with the SEC. On November 6, 2024, the Company received a letter (the “Compliance Letter”) from the Staff notifying the Company that it was then in compliance with the Rule and that, as a result, the Hearings Panel had canceled the hearing. The Compliance Letter also stated that the Company would be subject to a Mandatory Panel Monitor for a period of one year from November 6, 2024.</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20, 2024, the Company received a notice (the “Notice”) from Nasdaq notifying the Company that, because the Company was delinquent in filing its Quarterly Report on Form 10-Q for the fiscal quarter ended September 30, 2024 (the “Q3 Form 10-Q”), the Company no longer complied with the Rule, which requires companies with securities listed on Nasdaq to timely file all required periodic reports with the SEC. The Notice had no immediate effect on the listing or trading of the Company’s common stock or publicly traded warrants on the Nasdaq Global Select Market.</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accordance with Nasdaq’s listing rules, the Company had 60 calendar days after the Notice to submit a plan of compliance (the “Plan”) to Nasdaq demonstrating the Company’s ability to regain compliance with the Rule and sustain long-term compliance with Nasdaq’s listing rules, and Nasdaq has the discretion to grant the Company up to 180 calendar days from the due date of the Q3 Form 10-Q, or May 19, 2025, to regain compliance. The filing of this Q3 Form 10-Q cures the filing deficiency. The Company submitted a Plan to Nasdaq in January 2025.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Amendment to the Company’s 2021 Equity Incentive Plan</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the 2024 annual meeting of stockholders, the Company’s stockholders approved the first amendment to the Company’s 2021 Equity Incentive Plan, which increased the number of shares of common stock available for the issuance of awards under such plan to 9,957,029 shares of common stock, subject to automatic annual share increases as set forth in such plan.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Tax Matters</w:t>
      </w:r>
    </w:p>
    <w:p>
      <w:pPr>
        <w:spacing w:after="0" w:line="24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In June 2019, His Majesty’s Revenue and Customs (“HMRC”) issued notices of determination and decisions that stated that, for the period October 2017 to April 2018, Sonder Europe Limited (“Sonder Europe”) incorrectly accounted for value added taxes (“VAT”) under the Tour Operators’ Margin Scheme (“TOMS”) for Sonder Europe’s leasing of residential apartments in the United Kingdom on long-term contracts and the subsequent short-term rental to travelers. In January 2023, Sonder Europe appealed to the First-Tier Tribunal Tax Chamber (the “FTT”) against HMRC’s notices. On July 5, 2023, the FTT delivered a ruling holding that supplies of accommodation made by Sonder Europe fell within the scope of</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TOMS under the relevant VAT regulations. HMRC appealed the FTT’s ruling and on December 3, 2024, the appeal was heard in the Upper Tribunal. On January 14, 2025, the Upper Tribunal ruled that the FTT’s decision was wrong, and Sonder Europe was required to account for VAT on the full value of its supplies to travelers, rather than on the margin between the cost to Sonder Europe and the amount paid by travelers. The Company intends to appeal this decision.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following discussion and analysis of the financial condition and results of operations of Sonder Holdings Inc. (“Sonder,” “Company,” “we,” “us” or “our”) should be read together with Sonder’s condensed consolidated financial statements and related notes included elsewhere in this Quarterly Report on Form 10-Q and the audited consolidated financial statements and related notes thereto included in the Annual Report. This discussion contains forward-looking statements based upon current expectations that involve risks and uncertainties. Sonder’s actual results may differ materially from those anticipated in these forward-looking statements as a result of various factors, including those set forth under the section entitled “Risk Factors” herein or in the Annual Report and our subsequent SEC filings. Sonder’s historical results are not necessarily indicative of the results that may be expected for any period in the future. Except as otherwise noted, all references to 2023 refer to the year ended December 31, 2023.</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 leading global brand of premium, design-forward apartments and intimate boutique hotels serving the modern traveler. Launched in 2014, Sonder offers inspiring, thoughtfully designed accommodations and innovative, tech-enabled service combined into one seamless experience. Sonder properties are found in prime locations in over 40 markets, spanning ten countries and three continents. The Sonder app gives guests full control over their stay. Complete with self-service features, simple check-in and 24/7 on-the-ground support, amenities and services at Sonder are just a tap away, making a world of better stays open to all. In summer 2024, the company announced a strategic licensing agreement with Marriott. As of September 30, 2024, we had approximately 10,100 units available for guests to book at over 200 properties in 44 cities in 10 countries.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Company’s Business Model</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lease properties that meet our standards and furnish and decorate them to provide a design-led, technology-enabled experience, and then make them available for guests to book directly (through the Sonder app, our website, or our sales personnel) or through indirect channels (such as Airbnb, Expedia, and Booking.com). Additionally, we operate boutique hotels designated as Powered by Sonder properties, each with its own unique design elements and features, and which are available for guests to book in the same manner as our other properties. We manage our properties using proprietary and third-party technologies and deliver services to guests via the Sonder app and 24/7 on-the-ground support. Incorporating technology into all aspects of the business, we offer consistent quality at a compelling value to our guests.</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accommodations come in a variety of shapes and sizes to suit guests’ needs – from a multiple-bedroom apartment with fully-equipped kitchen and private laundry facilities, to a hotel room or suite. Our guests include leisure travelers, families, digital nomads, and business travelers.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currently lease all of our properties. In many of our leases, we have negotiated an upfront allowance paid by the real estate owner to help offset the capital invested to prepare and furnish a building and the individual units.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u w:val="single" w:color="auto"/>
          <w:color w:val="auto"/>
        </w:rPr>
        <w:t>Portfolio Optimization</w:t>
      </w:r>
      <w:r>
        <w:rPr>
          <w:rFonts w:ascii="Times New Roman" w:cs="Times New Roman" w:eastAsia="Times New Roman" w:hAnsi="Times New Roman"/>
          <w:sz w:val="18"/>
          <w:szCs w:val="18"/>
          <w:color w:val="auto"/>
        </w:rPr>
        <w:t xml:space="preserve"> - In November 2023, we implemented a portfolio optimization program to mitigate losses related to certain underperforming properties and to assess the Company’s portfolio of rents relative to current operations and existing market rents. As described in the Company’s Current Report on Form 8-K filed with the SEC on June 11, 2024, as of June 10, 2024, we had signed agreements to exit or reduce rent for approximately 105 buildings, or 4,300 units. Of the approximately 80 buildings, or 3,200 units, with finalized exit agreements, we had exited approximately 70 buildings, or 2,800 units, as of September 30, 2024. We expect to exit the remaining buildings throughout the remainder of 2024 and 2025. As of September 30, 2024, we had approximately 10,100 Live Units and 1,100 Contracted Units, and we leased and operated properties in 44 cities and 10 countries.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Notes and Warrants</w:t>
      </w:r>
      <w:r>
        <w:rPr>
          <w:rFonts w:ascii="Times New Roman" w:cs="Times New Roman" w:eastAsia="Times New Roman" w:hAnsi="Times New Roman"/>
          <w:sz w:val="18"/>
          <w:szCs w:val="18"/>
          <w:color w:val="auto"/>
        </w:rPr>
        <w:t xml:space="preserve"> - On June 11, 2024 and July 15, 2024, we announced that we had issued $10.0 million and $6.0 million, respectively, of Delayed Draw Notes, and issued New Delayed Draw Warrants to purchase 475,264 shares of common stock to the Purchasers, pursuant to amendments to the Delayed Draw Note Purchase Agreement. The Delayed Draw Warrants to purchase 123,750 shares of our common stock that were originally issued to the Purchasers were canceled in connection with such amendments. In August 2024, all of the New Delayed Draw Warrants were exercised for cash.</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u w:val="single" w:color="auto"/>
          <w:color w:val="auto"/>
        </w:rPr>
        <w:t>Marriott License Agreement</w:t>
      </w:r>
      <w:r>
        <w:rPr>
          <w:rFonts w:ascii="Times New Roman" w:cs="Times New Roman" w:eastAsia="Times New Roman" w:hAnsi="Times New Roman"/>
          <w:sz w:val="18"/>
          <w:szCs w:val="18"/>
          <w:color w:val="auto"/>
        </w:rPr>
        <w:t xml:space="preserve"> - On August 13, 2024, we entered into the Marriott Agreement, whereby our portfolio of properties is expected to join the Marriott system under a newly-created collection called “Sonder by Marriott Bonvoy.” Under the Marriott Agreement, our properties will become available for booking on Marriott’s digital platforms, including Marriott.com and the Marriott Bonvoy mobile app, and we will also gain access to Marriott’s global sales and marketing capabilities and distribution platform. Subject to us providing Marriott with reasonably satisfactory evidence that we have funded the Holistic Capital Solution and there being no monetary, bankruptcy related or exclusivity default by us under the Marriott Agreement, Marriott will provide us with $15 million of Key Money in two tranches by March 31, 2025. If the Marriott Agreement is terminated for any reason, we must reimburse Marriott, before the effective date of the termination, the Unamortized Key Money. We received the first tranche proceeds of $7.5 million on November 21, 2024.</w:t>
      </w:r>
    </w:p>
    <w:p>
      <w:pPr>
        <w:spacing w:after="0" w:line="2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u w:val="single" w:color="auto"/>
          <w:color w:val="auto"/>
        </w:rPr>
        <w:t>Issuance of Series A Preferred Stock</w:t>
      </w:r>
      <w:r>
        <w:rPr>
          <w:rFonts w:ascii="Times New Roman" w:cs="Times New Roman" w:eastAsia="Times New Roman" w:hAnsi="Times New Roman"/>
          <w:sz w:val="18"/>
          <w:szCs w:val="18"/>
          <w:color w:val="auto"/>
        </w:rPr>
        <w:t xml:space="preserve"> - On August 13, 2024, we entered into Securities Purchase Agreements (the “Securities Purchase Agreements”) with certain qualified institutional buyers or accredited investors (collectively, the “Purchasers”) (the “Private Placement”) of an aggregate of 43.3 million newly issued shares of Series A Convertible Preferred Stock, par value $0.0001 per share (the “Series A Preferred Stock”), in exchange for cash consideration in an aggregate amount of approximately $43.3 million. The sale of the Series A Preferred Stock pursuant to the Securities Purchase Agreements took place in two tranches. The first tranche, comprised of approximately 14.7 million shares of preferred stock for an aggregate purchase price of approximately $14.7 million, closed on August 13, 2024. The second and tranche, comprised of approximately 28.6 million shares of preferred stock in total for an aggregate purchase price of approximately $28.6 million, closed in multiple closings in November 2024. The Securities Purchase Agreements grant the Purchasers the right to purchase up to 25% of any equity offering within the next five years (a “Subsequent Financing”). The Purchasers are entitled to participate on a pro-rata basis (determined by their proportionate participation in the Private Placement) at a purchase price equal to 75% of the purchase price of any other investor in such Subsequent Financing.</w:t>
      </w:r>
    </w:p>
    <w:p>
      <w:pPr>
        <w:spacing w:after="0" w:line="2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u w:val="single" w:color="auto"/>
          <w:color w:val="auto"/>
        </w:rPr>
        <w:t>Certificate of Amendment to the Certificate of Incorporation</w:t>
      </w:r>
      <w:r>
        <w:rPr>
          <w:rFonts w:ascii="Times New Roman" w:cs="Times New Roman" w:eastAsia="Times New Roman" w:hAnsi="Times New Roman"/>
          <w:sz w:val="18"/>
          <w:szCs w:val="18"/>
          <w:color w:val="auto"/>
        </w:rPr>
        <w:t xml:space="preserve"> - On December 23, 2024, following the approval of the stockholders at our 2024 annual meeting of stockholders (the “Annual Meeting”), we filed a certificate of amendment to our Amended and Restated Certificate of Incorporation, as amended, with the Secretary of State of the State of Delaware to effect an increase in the number of authorized shares of capital stock of the Company, effective as of 4:01 p.m. Eastern Time on December 23, 2024. As of the effective time, our total number of authorized shares of all classes of capital stock was increased from 401,809,144 to 409,309,144, consisting of (a) (i) 157,309,144 shares of common stock, and (ii) 2,000,000 shares of special voting common stock, par value $0.0001 per share, and (b) 250,000,000 shares of preferred stock, par value $0.0001 per share.</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NPA Waiver Warrants</w:t>
      </w:r>
      <w:r>
        <w:rPr>
          <w:rFonts w:ascii="Times New Roman" w:cs="Times New Roman" w:eastAsia="Times New Roman" w:hAnsi="Times New Roman"/>
          <w:sz w:val="18"/>
          <w:szCs w:val="18"/>
          <w:color w:val="auto"/>
        </w:rPr>
        <w:t xml:space="preserve"> - On October 28, 2024, we entered into a limited waiver and consent agreement to that certain Delayed Draw Notes Purchase Agreement, dated December 10, 2021, as amended. Following the approval of the proposal to increase our authorized shares at the Annual Meeting, on December 31, 2024, we issued to the private placement investors of such Delayed Draw Notes Purchase Agreement warrants to purchase an aggregate of 500,000 shares of the Company’s common stock, each with an exercise price of $0.01 per share and an expiration date five years after the issuance date. The purchasers of such warrants were also provided with customary registration rights for the shares issuable upon exercise of such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Discussion Regarding Opportunities, Challenges and Risks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 Positive Plan</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primary focus is to put the business on a solid path to achieving sustainable positive Adjusted FCF as soon as possible (“Cash Flow Positive Plan”). Adjusted FCF is a non-GAAP measure, and the most directly comparable GAAP measure is cash used in operating activities, which was $(90.5) million for the nine months ended September 30, 2024 compared to $(72.5) million for the nine months ended September 30, 2023. We have continued to make progress toward this goal as our Adjusted FCF of $(63.9) million for the nine months ended September 30, 2024 was a $18.9 million improvement compared to the nine months ended September 30, 2023.</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part of our efforts to reach positive Adjusted FCF, we have undertaken a portfolio optimization program, which involves discussions with landlords about renegotiating the terms of our leases at certain properties. This process has resulted and may result in contract modifications resulting in changes to rent amounts, lease durations, or other provisions of our lease agreements and has resulted and may result in the termination of certain leases leading to the transition of certain properties over time and the incurrence of certain expenses including but not limited to termination fees and impairment charges, which could be material. The goal of this initiative is to reduce those properties’ impact on our profitability and cash flow through mutually agreeable solutions. The scope of the initiative can be expected to change over time, and we cannot predict the number or product mix of the units that may be ultimately affected. Although we are optimistic about reaching mutually beneficial outcomes in many of these continuing discussions, the terms, scope, and timing of any additional changes to our lease obligations, as well as any other effects on our landlord relationships or reputation with future real estate owners and guests who are affected by property transitions, are uncertain.</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ability to reach our Adjusted FCF goal is subject to certain risks, including potential changes in travel demand due to macroeconomic factors or other developments affecting travel; inflation; uncertainties associated with the timing and scope of new property openings; uncertainties associated with the portfolio optimization program described above; our ability to achieve our other intended cost reductions and efficiencies; and other risks and uncertainties described under “Risk Factors” in the Annual Report.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Supply Growth</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key driver of our revenue growth is our ability to convert units for which we have signed real estate contracts but are not yet available for guests to book (“Contracted Units”) into units available for guest booking (“Live Units”) and, to a lesser extent, to continue signing properties with favorable terms. Certain signed leases have contingencies or conditions that we or the landlord must satisfy before we lease the units, and from time to time, we exclude some of these leases from our Contracted Units total based on our judgment about the likelihood that the contingencies or conditions will be satisfied.</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part of our Cash Flow Positive Plan, we slowed our planned pace of new unit signings to focus on growth primarily through the conversion of our Contracted Units into Live Units. Our Live Units grew by the conversion of Contracted Units into Live Units. However, this growth was offset by the exit of certain units as part of the Company portfolio optimization program. As such, the Live Units decreased 14.4% from September 30, 2023 to September 30, 2024 to approximately 10,100 units. We are also focused on targeting high quality and 100% capital light deals (as defined in the section entitled “Non-GAAP Financial Measures” below) for incremental unit signings. While we continue to sign high quality, capital light units, development cost uncertainty and augmented risk around financing and landlord sentiment surrounding our stock price performance began to slow the pace of signings starting in the second half of 2022. These challenges were more acute in the second, third, and fourth quarters of 2023, resulting in fewer units signed in these periods than in prior quarters, and persisted in 2024. Despite these challenges, we continue to meaningfully scale the business, primarily by continuing to convert our Contracted Units into Live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Ability to Attract and Retain Guests</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Another key driver of our revenue growth is our ability to bring back repeat guests and to attract new guests through various channels. We source demand from a variety of channels, including directly, through Sonder.com, the Sonder app, or our sales personnel, and indirectly, through online travel agencies (“OTAs”) such as Airbnb, Expedia, and Booking.com. While bookings made through OTAs incur channel transaction fees, they allow us to attract new guests who may not be familiar with the Sonder brand. In general, direct bookings are more advantageous to us as they do not incur channel transaction fees and also allow us to have a more direct relationship with our guests. Direct revenue as a percentage of total revenue has fluctuated in recent years due to the COVID-19 pandemic but has stabilized above 40% (47.6% for the three months ended September 30, 2024). Additionally, we continue to focus on expanding our corporate sales business.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Technology</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invested, and will continue to invest, in resources in our technology architecture and infrastructure and in integrating our properties and systems into Marriott’s platform and systems pursuant to the Marriott Agreement. Technology is essential to our user experience, as it leads guests through their entire Sonder stay, from booking through check-out. Technology also underpins our hospitality operations, from underwriting and supply growth, to building openings, pricing and revenue management, demand generation, interior design, and day-to-day operations. By leveraging technology, our goal is to reduce operating costs and provide a better guest experience at a compelling value.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track the following key business metrics to evaluate our performance, identify trends, formulate financial projections, and make strategic decisions. Accordingly, we believe these key business metrics provide useful information to investors and others in understanding and evaluating our results of operations in the same manner as our management team. These key business metrics may be different from similarly titled metrics presented by other companies.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key metrics (rounded):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6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Nine months ended September</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43"/>
        </w:trPr>
        <w:tc>
          <w:tcPr>
            <w:tcW w:w="2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16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color w:val="auto"/>
                <w:w w:val="99"/>
              </w:rPr>
              <w:t>September 30,</w:t>
            </w:r>
          </w:p>
        </w:tc>
        <w:tc>
          <w:tcPr>
            <w:tcW w:w="160" w:type="dxa"/>
            <w:vAlign w:val="bottom"/>
          </w:tcPr>
          <w:p>
            <w:pPr>
              <w:spacing w:after="0"/>
              <w:rPr>
                <w:sz w:val="21"/>
                <w:szCs w:val="21"/>
                <w:color w:val="auto"/>
              </w:rPr>
            </w:pPr>
          </w:p>
        </w:tc>
        <w:tc>
          <w:tcPr>
            <w:tcW w:w="130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Change</w:t>
            </w: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30,</w:t>
            </w: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Change</w:t>
            </w:r>
          </w:p>
        </w:tc>
        <w:tc>
          <w:tcPr>
            <w:tcW w:w="700" w:type="dxa"/>
            <w:vAlign w:val="bottom"/>
          </w:tcPr>
          <w:p>
            <w:pPr>
              <w:spacing w:after="0"/>
              <w:rPr>
                <w:sz w:val="21"/>
                <w:szCs w:val="21"/>
                <w:color w:val="auto"/>
              </w:rPr>
            </w:pPr>
          </w:p>
        </w:tc>
      </w:tr>
      <w:tr>
        <w:trPr>
          <w:trHeight w:val="223"/>
        </w:trPr>
        <w:tc>
          <w:tcPr>
            <w:tcW w:w="20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gridSpan w:val="3"/>
          </w:tcPr>
          <w:p>
            <w:pPr>
              <w:ind w:left="240"/>
              <w:spacing w:after="0"/>
              <w:rPr>
                <w:sz w:val="20"/>
                <w:szCs w:val="20"/>
                <w:color w:val="auto"/>
              </w:rPr>
            </w:pPr>
            <w:r>
              <w:rPr>
                <w:rFonts w:ascii="Times New Roman" w:cs="Times New Roman" w:eastAsia="Times New Roman" w:hAnsi="Times New Roman"/>
                <w:sz w:val="18"/>
                <w:szCs w:val="18"/>
                <w:color w:val="auto"/>
              </w:rPr>
              <w:t>No.</w:t>
            </w:r>
          </w:p>
        </w:tc>
        <w:tc>
          <w:tcPr>
            <w:tcW w:w="70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No.</w:t>
            </w:r>
          </w:p>
        </w:tc>
        <w:tc>
          <w:tcPr>
            <w:tcW w:w="70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Live Units (end of period)</w:t>
            </w:r>
          </w:p>
        </w:tc>
        <w:tc>
          <w:tcPr>
            <w:tcW w:w="18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10,100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11,800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(1,700)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10,100</w:t>
            </w:r>
          </w:p>
        </w:tc>
        <w:tc>
          <w:tcPr>
            <w:tcW w:w="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11,800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(1,700)</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30"/>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Bookable Nights</w:t>
            </w:r>
          </w:p>
        </w:tc>
        <w:tc>
          <w:tcPr>
            <w:tcW w:w="18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922,000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9"/>
              </w:rPr>
              <w:t>1,048,000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(126,000)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3,014,000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9"/>
              </w:rPr>
              <w:t>2,903,000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111,000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r>
      <w:tr>
        <w:trPr>
          <w:trHeight w:val="230"/>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Occupied Nights</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783,000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868,000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(85,000)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2,405,000</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9"/>
              </w:rPr>
              <w:t>2,379,000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26,000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29"/>
        </w:trPr>
        <w:tc>
          <w:tcPr>
            <w:tcW w:w="20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Total Portfolio</w:t>
            </w:r>
            <w:r>
              <w:rPr>
                <w:rFonts w:ascii="Times New Roman" w:cs="Times New Roman" w:eastAsia="Times New Roman" w:hAnsi="Times New Roman"/>
                <w:sz w:val="23"/>
                <w:szCs w:val="23"/>
                <w:color w:val="auto"/>
                <w:vertAlign w:val="superscript"/>
              </w:rPr>
              <w:t>(1)</w:t>
            </w:r>
          </w:p>
        </w:tc>
        <w:tc>
          <w:tcPr>
            <w:tcW w:w="18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11,200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17,100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(5,900)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17,100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(5,900)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r>
      <w:tr>
        <w:trPr>
          <w:trHeight w:val="230"/>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RevPAR</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3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30"/>
        </w:trPr>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ADR</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3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r>
      <w:tr>
        <w:trPr>
          <w:trHeight w:val="230"/>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Occupancy rate</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bl>
    <w:p>
      <w:pPr>
        <w:spacing w:after="0" w:line="293" w:lineRule="exact"/>
        <w:rPr>
          <w:sz w:val="20"/>
          <w:szCs w:val="20"/>
          <w:color w:val="auto"/>
        </w:rPr>
      </w:pPr>
    </w:p>
    <w:p>
      <w:pPr>
        <w:ind w:left="180" w:hanging="172"/>
        <w:spacing w:after="0"/>
        <w:tabs>
          <w:tab w:leader="none" w:pos="180"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Total Portfolio consists of Live Units and Contracted Units at the end of the period noted.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Live Units</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Live Units generate Bookable Nights (as defined below) which generate revenue. Live Units are a key driver of revenue, and a key measure of the scale of our business, which in turn drives our financial performance.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Growth in Live Units is driven by the number of units contracted in prior periods, and the lead time and opening period associated with making those units available to guests. The time from contract signing to building opening varies widely, ranging from relatively short periods for hotels that already meet our brand standards and/or that are already live hotels operating under another brand, to many months or even years for projects under renovation or construction. The number of Live Units at the end of a period is also affected by the number of units that were removed from our portfolio during that same period, which we refer to as dropped units.</w:t>
      </w:r>
    </w:p>
    <w:p>
      <w:pPr>
        <w:spacing w:after="0" w:line="21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decrease in Live Units from September 30, 2023 to September 30, 2024 was driven by our portfolio optimization program and reduction of Live Units thereof. As of September 30, 2024, our five largest cities (New York City, Dubai,</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Montreal, Miami, and London) accounted for approximately 36.7% of our Live Units, and our 10 largest cities accounted for approximately 58.7% of our Live Units. The decrease in Total Portfolio from September 30, 2023 to September 30, 2024 was also driven by our portfolio optimization program.</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Bookable Nights / Occupied Nights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Bookable Nights represent the total number of nights available for stays across all Live Units. This excludes nights lost to full building closures of greater than 30 nights. Occupied Nights represent the total number of nights occupied across all Live Units. Occupancy Rate (“OR”) is calculated as Occupied Nights divided by Bookable Nights. Bookable Nights, Occupied Nights, and OR are key drivers of revenue, which in turn drives financial performance.</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decrease in Bookable Nights and Occupied Nights from the three months ended September 30, 2023 to the three months ended September 30, 2024 and from the nine months ended September 30, 2023 to the nine months ended September 30, 2024 was largely driven by the portfolio optimization program.</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RevPAR and Average Daily Rate</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RevPAR represents the average revenue earned per available night and can be calculated either by dividing revenue by Bookable Nights, or by multiplying ADR by OR. ADR represents the average revenue earned per night occupied and is calculated as Revenue divided by Occupied Nights. RevPAR and ADR are key drivers of revenue, and key measures of our ability to attract and retain guests, which in turn drives financial performance.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Several factors may explain period-to-period RevPAR variances, including:</w:t>
      </w:r>
    </w:p>
    <w:p>
      <w:pPr>
        <w:spacing w:after="0" w:line="252" w:lineRule="exact"/>
        <w:rPr>
          <w:sz w:val="20"/>
          <w:szCs w:val="20"/>
          <w:color w:val="auto"/>
        </w:rPr>
      </w:pPr>
    </w:p>
    <w:p>
      <w:pPr>
        <w:jc w:val="both"/>
        <w:ind w:left="660" w:hanging="328"/>
        <w:spacing w:after="0" w:line="257"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Live Units that became live in recent months and have not yet reached mature economics. Typically, new Live Units take several months to achieve mature ADR and OR as buildings stabilize and drive organic bookings. If a period has a significant increase in Live Units, this may reduce the portfolio’s RevPAR.</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mix represents the composition of our portfolio based on geographic presence. Certain markets such as New York or London typically earn higher RevPARs, while certain other markets such as Houston or Phoenix typically earn lower RevPARs. Therefore, if the market mix shifts toward lower RevPAR markets, it may adversely impact the portfolio’s RevPAR.</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mix represents the composition of our portfolio between apartment and hotel style units. In general, apartments are higher RevPAR bookings because they typically offer more amenities (e.g., kitchen, in-unit washer/dryer) and have higher square footage compared to hotel units. Therefore, if the product mix shifts towards hotel units, it may reduce the average portfolio-wide RevPAR.</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Seasonality drives typical period-to-period variances in a particular property’s RevPAR depending upon seasonal factors (e.g., weather patterns, local attractions and events, holidays) as well as property location and type. Based on results prior to the COVID-19 pandemic, RevPAR tends to be lower across our portfolio in the first quarter and fourth quarters of each year due to seasonal factors such as weather and holidays and the market mix and product mix of our portfolio at the time. However, the effect of seasonality will vary as our market mix and product mix continues to evolve.</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increases in RevPAR from the three and nine months ended September 30, 2023 to the three and nine months ended September 30, 2024, respectively, were driven by the impact of the portfolio optimization program, broader travel industry trends, product mix between hotels and apartments, geographic mix, and the impact of corporate sales and pricing strategies.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Three months ended September 30, 2024 compared to three months ended September 30, 2023</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as a percentage of revenue (in thousands, except percentages):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7"/>
          </w:tcPr>
          <w:p>
            <w:pPr>
              <w:jc w:val="right"/>
              <w:ind w:right="60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900" w:type="dxa"/>
            <w:vAlign w:val="bottom"/>
            <w:tcBorders>
              <w:bottom w:val="single" w:sz="8" w:color="auto"/>
            </w:tcBorders>
          </w:tcPr>
          <w:p>
            <w:pPr>
              <w:spacing w:after="0"/>
              <w:rPr>
                <w:sz w:val="20"/>
                <w:szCs w:val="20"/>
                <w:color w:val="auto"/>
              </w:rPr>
            </w:pPr>
          </w:p>
        </w:tc>
      </w:tr>
      <w:tr>
        <w:trPr>
          <w:trHeight w:val="223"/>
        </w:trPr>
        <w:tc>
          <w:tcPr>
            <w:tcW w:w="57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2024</w:t>
            </w:r>
          </w:p>
        </w:tc>
        <w:tc>
          <w:tcPr>
            <w:tcW w:w="9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2023</w:t>
            </w:r>
          </w:p>
        </w:tc>
        <w:tc>
          <w:tcPr>
            <w:tcW w:w="900" w:type="dxa"/>
            <w:vAlign w:val="bottom"/>
            <w:tcBorders>
              <w:bottom w:val="single" w:sz="8" w:color="auto"/>
            </w:tcBorders>
          </w:tcPr>
          <w:p>
            <w:pPr>
              <w:spacing w:after="0"/>
              <w:rPr>
                <w:sz w:val="19"/>
                <w:szCs w:val="19"/>
                <w:color w:val="auto"/>
              </w:rPr>
            </w:pPr>
          </w:p>
        </w:tc>
      </w:tr>
      <w:tr>
        <w:trPr>
          <w:trHeight w:val="223"/>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162,114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160,896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30"/>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 (excluding depreciation and amortization)</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92,991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57.4 %</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103,374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64.2 %</w:t>
            </w:r>
          </w:p>
        </w:tc>
      </w:tr>
      <w:tr>
        <w:trPr>
          <w:trHeight w:val="229"/>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Operations and support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45,292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27.9 %</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50,376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31.3 %</w:t>
            </w:r>
          </w:p>
        </w:tc>
      </w:tr>
      <w:tr>
        <w:trPr>
          <w:trHeight w:val="230"/>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29,731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18.3 %</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30,548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19.0 %</w:t>
            </w:r>
          </w:p>
        </w:tc>
      </w:tr>
      <w:tr>
        <w:trPr>
          <w:trHeight w:val="229"/>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r>
      <w:tr>
        <w:trPr>
          <w:trHeight w:val="229"/>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22,292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13.8 %</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20,996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13.0 %</w:t>
            </w:r>
          </w:p>
        </w:tc>
      </w:tr>
      <w:tr>
        <w:trPr>
          <w:trHeight w:val="23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loss</w:t>
            </w:r>
          </w:p>
        </w:tc>
        <w:tc>
          <w:tcPr>
            <w:tcW w:w="300" w:type="dxa"/>
            <w:vAlign w:val="bottom"/>
            <w:shd w:val="clear" w:color="auto" w:fill="CCEEFF"/>
          </w:tcPr>
          <w:p>
            <w:pPr>
              <w:spacing w:after="0"/>
              <w:rPr>
                <w:sz w:val="19"/>
                <w:szCs w:val="19"/>
                <w:color w:val="auto"/>
              </w:rPr>
            </w:pPr>
          </w:p>
        </w:tc>
        <w:tc>
          <w:tcPr>
            <w:tcW w:w="1500" w:type="dxa"/>
            <w:vAlign w:val="bottom"/>
            <w:gridSpan w:val="3"/>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r>
      <w:tr>
        <w:trPr>
          <w:trHeight w:val="229"/>
        </w:trPr>
        <w:tc>
          <w:tcPr>
            <w:tcW w:w="5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costs and operating expenses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196,037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120.9 %</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211,737</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131.6 %</w:t>
            </w:r>
          </w:p>
        </w:tc>
      </w:tr>
      <w:tr>
        <w:trPr>
          <w:trHeight w:val="223"/>
        </w:trPr>
        <w:tc>
          <w:tcPr>
            <w:tcW w:w="5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(33,923)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(50,841)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r>
      <w:tr>
        <w:trPr>
          <w:trHeight w:val="23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non-operating (income) expense, net</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145,266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89.6 %</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6,714</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r>
      <w:tr>
        <w:trPr>
          <w:trHeight w:val="223"/>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(179,189)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(57,555)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r>
      <w:tr>
        <w:trPr>
          <w:trHeight w:val="230"/>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(179,391)</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(57,630)</w:t>
            </w: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w:t>
            </w:r>
          </w:p>
        </w:tc>
      </w:tr>
      <w:tr>
        <w:trPr>
          <w:trHeight w:val="20"/>
        </w:trPr>
        <w:tc>
          <w:tcPr>
            <w:tcW w:w="57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97"/>
        </w:trPr>
        <w:tc>
          <w:tcPr>
            <w:tcW w:w="57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Other comprehensive income (loss):</w:t>
            </w: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29"/>
        </w:trPr>
        <w:tc>
          <w:tcPr>
            <w:tcW w:w="5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Change in foreign currency translation adjustment</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3,547</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48"/>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(184,830)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(54,083)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revenue (in thousands, except percentages):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3520" w:type="dxa"/>
            <w:vAlign w:val="bottom"/>
            <w:gridSpan w:val="6"/>
          </w:tcPr>
          <w:p>
            <w:pPr>
              <w:ind w:left="44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1040" w:type="dxa"/>
            <w:vAlign w:val="bottom"/>
          </w:tcPr>
          <w:p>
            <w:pPr>
              <w:spacing w:after="0"/>
              <w:rPr>
                <w:sz w:val="20"/>
                <w:szCs w:val="20"/>
                <w:color w:val="auto"/>
              </w:rPr>
            </w:pPr>
          </w:p>
        </w:tc>
        <w:tc>
          <w:tcPr>
            <w:tcW w:w="130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Change</w:t>
            </w:r>
          </w:p>
        </w:tc>
        <w:tc>
          <w:tcPr>
            <w:tcW w:w="1260" w:type="dxa"/>
            <w:vAlign w:val="bottom"/>
          </w:tcPr>
          <w:p>
            <w:pPr>
              <w:spacing w:after="0"/>
              <w:rPr>
                <w:sz w:val="20"/>
                <w:szCs w:val="20"/>
                <w:color w:val="auto"/>
              </w:rPr>
            </w:pPr>
          </w:p>
        </w:tc>
      </w:tr>
      <w:tr>
        <w:trPr>
          <w:trHeight w:val="27"/>
        </w:trPr>
        <w:tc>
          <w:tcPr>
            <w:tcW w:w="4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4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9"/>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020" w:type="dxa"/>
            <w:vAlign w:val="bottom"/>
            <w:tcBorders>
              <w:bottom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162,114</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160,896</w:t>
            </w:r>
          </w:p>
        </w:tc>
        <w:tc>
          <w:tcPr>
            <w:tcW w:w="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increased, primarily due to a 14.3% increase in RevPAR partially offset by a 12.0% decrease in Bookable Nights. The increase in RevPAR was driven by the portfolio optimization program, broader travel industry trends, product mix between hotels and apartments, geographic mix, cohort mix and the impact of corporate sales and pricing strategies. The decrease in Bookable Nights is the result of the portfolio optimization program.</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Costs and Operating Expenses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total costs and operating expenses (in thousands, except percentages):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820" w:type="dxa"/>
            <w:vAlign w:val="bottom"/>
          </w:tcPr>
          <w:p>
            <w:pPr>
              <w:spacing w:after="0"/>
              <w:rPr>
                <w:sz w:val="20"/>
                <w:szCs w:val="20"/>
                <w:color w:val="auto"/>
              </w:rPr>
            </w:pPr>
          </w:p>
        </w:tc>
        <w:tc>
          <w:tcPr>
            <w:tcW w:w="130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Change</w:t>
            </w:r>
          </w:p>
        </w:tc>
        <w:tc>
          <w:tcPr>
            <w:tcW w:w="1140" w:type="dxa"/>
            <w:vAlign w:val="bottom"/>
          </w:tcPr>
          <w:p>
            <w:pPr>
              <w:spacing w:after="0"/>
              <w:rPr>
                <w:sz w:val="20"/>
                <w:szCs w:val="20"/>
                <w:color w:val="auto"/>
              </w:rPr>
            </w:pPr>
          </w:p>
        </w:tc>
      </w:tr>
      <w:tr>
        <w:trPr>
          <w:trHeight w:val="27"/>
        </w:trPr>
        <w:tc>
          <w:tcPr>
            <w:tcW w:w="4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4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4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 (excluding depreciation and amortization)</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92,991</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103,374</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43"/>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Operations and support</w:t>
            </w:r>
          </w:p>
        </w:tc>
        <w:tc>
          <w:tcPr>
            <w:tcW w:w="2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45,292</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50,376</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7"/>
        </w:trPr>
        <w:tc>
          <w:tcPr>
            <w:tcW w:w="4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29,731</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30,548</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43"/>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4,427</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5,344</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7"/>
        </w:trPr>
        <w:tc>
          <w:tcPr>
            <w:tcW w:w="4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6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22,292</w:t>
            </w: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20,996</w:t>
            </w: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r>
      <w:tr>
        <w:trPr>
          <w:trHeight w:val="270"/>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loss</w:t>
            </w:r>
          </w:p>
        </w:tc>
        <w:tc>
          <w:tcPr>
            <w:tcW w:w="260" w:type="dxa"/>
            <w:vAlign w:val="bottom"/>
          </w:tcPr>
          <w:p>
            <w:pPr>
              <w:spacing w:after="0"/>
              <w:rPr>
                <w:sz w:val="23"/>
                <w:szCs w:val="23"/>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7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26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8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10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10766.7 %</w:t>
            </w:r>
          </w:p>
        </w:tc>
      </w:tr>
      <w:tr>
        <w:trPr>
          <w:trHeight w:val="264"/>
        </w:trPr>
        <w:tc>
          <w:tcPr>
            <w:tcW w:w="4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costs and operating expenses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196,037</w:t>
            </w:r>
          </w:p>
        </w:tc>
        <w:tc>
          <w:tcPr>
            <w:tcW w:w="8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211,737</w:t>
            </w:r>
          </w:p>
        </w:tc>
        <w:tc>
          <w:tcPr>
            <w:tcW w:w="100" w:type="dxa"/>
            <w:vAlign w:val="bottom"/>
          </w:tcPr>
          <w:p>
            <w:pPr>
              <w:spacing w:after="0"/>
              <w:rPr>
                <w:sz w:val="22"/>
                <w:szCs w:val="22"/>
                <w:color w:val="auto"/>
              </w:rPr>
            </w:pPr>
          </w:p>
        </w:tc>
        <w:tc>
          <w:tcPr>
            <w:tcW w:w="8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(15,700)</w:t>
            </w:r>
          </w:p>
        </w:tc>
        <w:tc>
          <w:tcPr>
            <w:tcW w:w="10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0"/>
        </w:trPr>
        <w:tc>
          <w:tcPr>
            <w:tcW w:w="4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Cost of Revenue (excluding depreciation and amortization)</w:t>
      </w:r>
      <w:r>
        <w:rPr>
          <w:rFonts w:ascii="Times New Roman" w:cs="Times New Roman" w:eastAsia="Times New Roman" w:hAnsi="Times New Roman"/>
          <w:sz w:val="18"/>
          <w:szCs w:val="18"/>
          <w:color w:val="auto"/>
        </w:rPr>
        <w:t>: Cost of revenue decreased, primarily due to a $10.9 million decrease in rent expense driven by the portfolio optimization program.</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Operations and support</w:t>
      </w:r>
      <w:r>
        <w:rPr>
          <w:rFonts w:ascii="Times New Roman" w:cs="Times New Roman" w:eastAsia="Times New Roman" w:hAnsi="Times New Roman"/>
          <w:sz w:val="18"/>
          <w:szCs w:val="18"/>
          <w:color w:val="auto"/>
        </w:rPr>
        <w:t>: The decrease in operations and support was primarily due to: (i) a $2.3 million decrease in employee compensation cost, due to a decrease in average headcount, (ii) a $1.6 million decrease in unit-related expenses primarily smaller non-capitalized items for the units such as bedding, decor, furniture and lighting, and (iii) a $1.3 million decrease in pre-opening costs due primarily to the timing of costs related to onboarding new units in the three months ended September 30, 2024 compared to the three months ended September 30, 2023, and (iv) partially offset by multiple less significant amounts and a $2.2 million increase in taxes due primarily to property tax assessments.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General and administrative</w:t>
      </w:r>
      <w:r>
        <w:rPr>
          <w:rFonts w:ascii="Times New Roman" w:cs="Times New Roman" w:eastAsia="Times New Roman" w:hAnsi="Times New Roman"/>
          <w:sz w:val="18"/>
          <w:szCs w:val="18"/>
          <w:color w:val="auto"/>
        </w:rPr>
        <w:t>: General and administrative decreased, primarily due to: (i) a $6.9 million decrease in employee compensation cost, due to a decrease in average headcount, (ii) a $3.8 million increase in taxes, primarily value added taxes offset by property taxes, (iii) a $1.2 million decrease in insurance and (iv) the cumulative impact of other less significant expense decreases; partially offset by a $5.8 million increase in legal and professional fees related to corporate matters which includes one-time fees associated with the strategic licensing agreement with Marriott and financing deals, all announced in August 2024.</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Research and development</w:t>
      </w:r>
      <w:r>
        <w:rPr>
          <w:rFonts w:ascii="Times New Roman" w:cs="Times New Roman" w:eastAsia="Times New Roman" w:hAnsi="Times New Roman"/>
          <w:sz w:val="18"/>
          <w:szCs w:val="18"/>
          <w:color w:val="auto"/>
        </w:rPr>
        <w:t>: Research and development decreased, primarily due to: (i) a $0.4 million decrease in depreciation, primarily due to a decrease in capitalized software costs, (ii) a $0.2 million decrease in computer software expense, and (iii) a $0.4 million decrease in employee compensation expense, driven by a decrease in average headcount, partially offset by a $0.1 million increase in legal and professional fees.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Sales and marketing</w:t>
      </w:r>
      <w:r>
        <w:rPr>
          <w:rFonts w:ascii="Times New Roman" w:cs="Times New Roman" w:eastAsia="Times New Roman" w:hAnsi="Times New Roman"/>
          <w:sz w:val="18"/>
          <w:szCs w:val="18"/>
          <w:color w:val="auto"/>
        </w:rPr>
        <w:t>: The increase in sales and marketing was primarily due to: (i) a $0.6 million increase in channel transaction fees resulting from an increase in revenue booked through third-party OTAs, consistent with total revenue growth, and (ii) a $0.4 million increase in performance marketing expense.</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Impairment Loss:</w:t>
      </w:r>
      <w:r>
        <w:rPr>
          <w:rFonts w:ascii="Times New Roman" w:cs="Times New Roman" w:eastAsia="Times New Roman" w:hAnsi="Times New Roman"/>
          <w:sz w:val="18"/>
          <w:szCs w:val="18"/>
          <w:color w:val="auto"/>
        </w:rPr>
        <w:t xml:space="preserve"> Impairment losses decreased, primarily due to improved factors related to the valuation of our operating lease right-of-use (“ROU”) assets, that triggered an impairment charge recognized by the Company in the corresponding prior period.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u w:val="single" w:color="auto"/>
          <w:color w:val="auto"/>
        </w:rPr>
        <w:t>Restructuring and other charge</w:t>
      </w:r>
      <w:r>
        <w:rPr>
          <w:rFonts w:ascii="Times New Roman" w:cs="Times New Roman" w:eastAsia="Times New Roman" w:hAnsi="Times New Roman"/>
          <w:sz w:val="18"/>
          <w:szCs w:val="18"/>
          <w:color w:val="auto"/>
        </w:rPr>
        <w:t>s: For the three months ended September 30, 2023, the restructuring and other charges consists certain adjustments related to the employee termination benefits as a result of the restructuring announced on March 1, 2023. The majority of the restructuring charges were recognized in the first quarter of 2023. For the three months ended September 30, 2024, this represents the residual restructuring and other charges for employee termination benefits as a result of a restructuring announced on February 20, 2024. The entirety of the increase in restructuring and other charges is due to the difference in amounts recognized for each of the restructurings discussed above.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Non-Operating Expense, Net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total non-operating (income) expense, net (in thousands, except percentages):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4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800" w:type="dxa"/>
            <w:vAlign w:val="bottom"/>
          </w:tcPr>
          <w:p>
            <w:pPr>
              <w:spacing w:after="0"/>
              <w:rPr>
                <w:sz w:val="20"/>
                <w:szCs w:val="20"/>
                <w:color w:val="auto"/>
              </w:rPr>
            </w:pPr>
          </w:p>
        </w:tc>
        <w:tc>
          <w:tcPr>
            <w:tcW w:w="128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Change</w:t>
            </w:r>
          </w:p>
        </w:tc>
        <w:tc>
          <w:tcPr>
            <w:tcW w:w="1100" w:type="dxa"/>
            <w:vAlign w:val="bottom"/>
          </w:tcPr>
          <w:p>
            <w:pPr>
              <w:spacing w:after="0"/>
              <w:rPr>
                <w:sz w:val="20"/>
                <w:szCs w:val="20"/>
                <w:color w:val="auto"/>
              </w:rPr>
            </w:pPr>
          </w:p>
        </w:tc>
      </w:tr>
      <w:tr>
        <w:trPr>
          <w:trHeight w:val="27"/>
        </w:trPr>
        <w:tc>
          <w:tcPr>
            <w:tcW w:w="45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4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0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5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9,256</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6,423</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44.1 %</w:t>
            </w:r>
          </w:p>
        </w:tc>
      </w:tr>
      <w:tr>
        <w:trPr>
          <w:trHeight w:val="243"/>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SPAC Warrants</w:t>
            </w:r>
          </w:p>
        </w:tc>
        <w:tc>
          <w:tcPr>
            <w:tcW w:w="2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w:t>
            </w:r>
          </w:p>
        </w:tc>
      </w:tr>
      <w:tr>
        <w:trPr>
          <w:trHeight w:val="27"/>
        </w:trPr>
        <w:tc>
          <w:tcPr>
            <w:tcW w:w="4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Earn Out Liability</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w:t>
            </w:r>
          </w:p>
        </w:tc>
      </w:tr>
      <w:tr>
        <w:trPr>
          <w:trHeight w:val="243"/>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adjustment gains, net</w:t>
            </w:r>
          </w:p>
        </w:tc>
        <w:tc>
          <w:tcPr>
            <w:tcW w:w="2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299.3 %</w:t>
            </w:r>
          </w:p>
        </w:tc>
      </w:tr>
      <w:tr>
        <w:trPr>
          <w:trHeight w:val="27"/>
        </w:trPr>
        <w:tc>
          <w:tcPr>
            <w:tcW w:w="4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preferred stock issuance</w:t>
            </w:r>
          </w:p>
        </w:tc>
        <w:tc>
          <w:tcPr>
            <w:tcW w:w="26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59,490</w:t>
            </w: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59,490</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70"/>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forward contracts</w:t>
            </w:r>
          </w:p>
        </w:tc>
        <w:tc>
          <w:tcPr>
            <w:tcW w:w="26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86,570</w:t>
            </w: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86,570</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70"/>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(9,530)</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(10,445)</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(1141.5)%</w:t>
            </w:r>
          </w:p>
        </w:tc>
      </w:tr>
      <w:tr>
        <w:trPr>
          <w:trHeight w:val="263"/>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non-operating expense, net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145,266</w:t>
            </w:r>
          </w:p>
        </w:tc>
        <w:tc>
          <w:tcPr>
            <w:tcW w:w="100" w:type="dxa"/>
            <w:vAlign w:val="bottom"/>
          </w:tcPr>
          <w:p>
            <w:pPr>
              <w:spacing w:after="0"/>
              <w:rPr>
                <w:sz w:val="22"/>
                <w:szCs w:val="22"/>
                <w:color w:val="auto"/>
              </w:rPr>
            </w:pPr>
          </w:p>
        </w:tc>
        <w:tc>
          <w:tcPr>
            <w:tcW w:w="1080" w:type="dxa"/>
            <w:vAlign w:val="bottom"/>
            <w:tcBorders>
              <w:top w:val="single" w:sz="8" w:color="auto"/>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6,714</w:t>
            </w:r>
          </w:p>
        </w:tc>
        <w:tc>
          <w:tcPr>
            <w:tcW w:w="100" w:type="dxa"/>
            <w:vAlign w:val="bottom"/>
          </w:tcPr>
          <w:p>
            <w:pPr>
              <w:spacing w:after="0"/>
              <w:rPr>
                <w:sz w:val="22"/>
                <w:szCs w:val="22"/>
                <w:color w:val="auto"/>
              </w:rPr>
            </w:pPr>
          </w:p>
        </w:tc>
        <w:tc>
          <w:tcPr>
            <w:tcW w:w="80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138,552</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2063.6 %</w:t>
            </w:r>
          </w:p>
        </w:tc>
      </w:tr>
      <w:tr>
        <w:trPr>
          <w:trHeight w:val="21"/>
        </w:trPr>
        <w:tc>
          <w:tcPr>
            <w:tcW w:w="4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expense, net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Interest expense, net increased, primarily due to interest expense recognized on the Company’s Delayed Draw Notes.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Change in fair value of SPAC Warrants</w:t>
      </w:r>
      <w:r>
        <w:rPr>
          <w:rFonts w:ascii="Times New Roman" w:cs="Times New Roman" w:eastAsia="Times New Roman" w:hAnsi="Times New Roman"/>
          <w:sz w:val="18"/>
          <w:szCs w:val="18"/>
          <w:color w:val="auto"/>
        </w:rPr>
        <w:t>. The change in the fair value of the SPAC Warrants is impacted by the initial recognition of, and subsequent fair value adjustments to, the SPAC Warrants. The change in the fair value of this line item resulted primarily from a decrease in our stock price period-over-period.</w:t>
      </w:r>
    </w:p>
    <w:p>
      <w:pPr>
        <w:spacing w:after="0" w:line="20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u w:val="single" w:color="auto"/>
          <w:color w:val="auto"/>
        </w:rPr>
        <w:t>Change in fair value of Earn Out Liability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change in the fair value of the Earn Out Liability is impacted by the initial recognition of, and subsequent fair value adjustments to, the Earn Out Liability. The change in the fair value of this line item resulted from a decrease in our stock price period-over-period.</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Lease adjustment (gain) loss.</w:t>
      </w:r>
      <w:r>
        <w:rPr>
          <w:rFonts w:ascii="Times New Roman" w:cs="Times New Roman" w:eastAsia="Times New Roman" w:hAnsi="Times New Roman"/>
          <w:sz w:val="18"/>
          <w:szCs w:val="18"/>
          <w:color w:val="auto"/>
        </w:rPr>
        <w:t xml:space="preserve"> The lease adjustment (gain) loss is due to the residual impact of lease terminations. The Company in 2024 has undertaken an initiative to renegotiate or exit certain properties where there exists unfavorable lease terms.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Loss on preferred stock issuance.</w:t>
      </w:r>
      <w:r>
        <w:rPr>
          <w:rFonts w:ascii="Times New Roman" w:cs="Times New Roman" w:eastAsia="Times New Roman" w:hAnsi="Times New Roman"/>
          <w:sz w:val="18"/>
          <w:szCs w:val="18"/>
          <w:color w:val="auto"/>
        </w:rPr>
        <w:t xml:space="preserve"> The loss on preferred stock issuance of $58.2 million was recorded for the three months ended September 30, 2024, attributable to the Securities Purchase Agreements entered into by the Company on August 13, 2024. The agreement provided for 43.3 million newly issued shares of Series A Convertible Preferred Stock, par value $0.0001 per share (the “Series A Preferred Stock”), in exchange for cash consideration in an aggregate amount of approximately $43.3 million. The shares were valued in excess of the proceeds received as part of the transaction. The Company identified the following two freestanding financial instruments issued in connection with the transaction, a) Mezzanine equity-classified Series A Convertible Preferred Stock and b) Liability-classified forward contract for commitments of investors to purchase, and commitments of the Company to sell additional Series A Convertible Preferred Stock. As of the transaction inception, these instruments had an aggregate fair value of $72.9 million and the Company received $14.7 million from the first tranche closing, resulting in the $58.2 million loss on preferred stock issuance. No similar loss was recognized during the three months ended September 30, 2023, as no issuance of this nature occurred.</w:t>
      </w:r>
    </w:p>
    <w:p>
      <w:pPr>
        <w:spacing w:after="0" w:line="2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Securities Purchase Agreements also grants the Purchasers the right to purchase up to 25% of any equity offering within the next five years (a “Subsequent Financing”). The Purchasers are entitled to participate on a pro-rata basis (determined by their proportionate participation in the Private Placement) at a purchase price equal to 75% of the purchase price of any other investor in such Subsequent Financing. The Company recognized a liability for this preferred stock participation right of $1.3 million within other current liabilities in the condensed consolidated balance sheets as of September 30, 2024. The Company recognized a change in fair value of the participation right of $12 thousand as the</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remeasurement reflecting fluctuations in the underlying variables and assumptions from inception on August 13, 2024 through the quarter ended on September 30, 2024.</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Change in fair value of forward contracts.</w:t>
      </w:r>
      <w:r>
        <w:rPr>
          <w:rFonts w:ascii="Times New Roman" w:cs="Times New Roman" w:eastAsia="Times New Roman" w:hAnsi="Times New Roman"/>
          <w:sz w:val="18"/>
          <w:szCs w:val="18"/>
          <w:color w:val="auto"/>
        </w:rPr>
        <w:t xml:space="preserve"> As part of the Securities Purchase Agreements entered into by the Company on August 13, 2024, the transaction included a Liability-classified forward contract for commitments of investors to purchase, and commitments of the Company to sell additional Series A Convertible Preferred Stock. The change in fair value of the forward contract of $86.6 million represents the remeasurement reflecting fluctuations in the underlying variables and assumptions from inception on August 13, 2024 through the quarter ended on September 30, 2024. No similar change in fair value of forward contract was recognized during the three months ended September 30, 2023, as no issuance of this nature occurred.</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Other income, net</w:t>
      </w:r>
      <w:r>
        <w:rPr>
          <w:rFonts w:ascii="Times New Roman" w:cs="Times New Roman" w:eastAsia="Times New Roman" w:hAnsi="Times New Roman"/>
          <w:sz w:val="18"/>
          <w:szCs w:val="18"/>
          <w:color w:val="auto"/>
        </w:rPr>
        <w:t>. The change in other income, net is primarily due to fluctuations in foreign currency rates which impacted the remeasurement of foreign balances to reporting currency.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2024 and 2023, we have recorded a full valuation allowance against our deferred tax assets due to our history of losses.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provision for income taxes (in thousands, except percentages):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306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8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rPr>
              <w:t>Change</w:t>
            </w:r>
          </w:p>
        </w:tc>
        <w:tc>
          <w:tcPr>
            <w:tcW w:w="1100" w:type="dxa"/>
            <w:vAlign w:val="bottom"/>
          </w:tcPr>
          <w:p>
            <w:pPr>
              <w:spacing w:after="0"/>
              <w:rPr>
                <w:sz w:val="20"/>
                <w:szCs w:val="20"/>
                <w:color w:val="auto"/>
              </w:rPr>
            </w:pPr>
          </w:p>
        </w:tc>
      </w:tr>
      <w:tr>
        <w:trPr>
          <w:trHeight w:val="27"/>
        </w:trPr>
        <w:tc>
          <w:tcPr>
            <w:tcW w:w="45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458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2024</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2023</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0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5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8"/>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140" w:type="dxa"/>
            <w:vAlign w:val="bottom"/>
            <w:tcBorders>
              <w:bottom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169.3 %</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for income taxes increased, primarily as a result of taxes to operations in foreign jurisdictions.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Nine months ended September 30, 2024 compared to nine months ended September 30, 2023</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as a percentage of revenue (in thousands, except percentages):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7"/>
          </w:tcPr>
          <w:p>
            <w:pPr>
              <w:jc w:val="right"/>
              <w:ind w:right="620"/>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9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488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2024</w:t>
            </w: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2023</w:t>
            </w:r>
          </w:p>
        </w:tc>
        <w:tc>
          <w:tcPr>
            <w:tcW w:w="90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23"/>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7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460,194</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437,802</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60" w:type="dxa"/>
            <w:vAlign w:val="bottom"/>
          </w:tcPr>
          <w:p>
            <w:pPr>
              <w:spacing w:after="0"/>
              <w:rPr>
                <w:sz w:val="19"/>
                <w:szCs w:val="19"/>
                <w:color w:val="auto"/>
              </w:rPr>
            </w:pPr>
          </w:p>
        </w:tc>
      </w:tr>
      <w:tr>
        <w:trPr>
          <w:trHeight w:val="230"/>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 (excluding depreciation and amortization)</w:t>
            </w: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288,006</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289,947</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66.2 %</w:t>
            </w:r>
          </w:p>
        </w:tc>
        <w:tc>
          <w:tcPr>
            <w:tcW w:w="60" w:type="dxa"/>
            <w:vAlign w:val="bottom"/>
          </w:tcPr>
          <w:p>
            <w:pPr>
              <w:spacing w:after="0"/>
              <w:rPr>
                <w:sz w:val="19"/>
                <w:szCs w:val="19"/>
                <w:color w:val="auto"/>
              </w:rPr>
            </w:pPr>
          </w:p>
        </w:tc>
      </w:tr>
      <w:tr>
        <w:trPr>
          <w:trHeight w:val="23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Operations and support</w:t>
            </w:r>
          </w:p>
        </w:tc>
        <w:tc>
          <w:tcPr>
            <w:tcW w:w="7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141,683</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154,426</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35.3 %</w:t>
            </w:r>
          </w:p>
        </w:tc>
        <w:tc>
          <w:tcPr>
            <w:tcW w:w="60" w:type="dxa"/>
            <w:vAlign w:val="bottom"/>
          </w:tcPr>
          <w:p>
            <w:pPr>
              <w:spacing w:after="0"/>
              <w:rPr>
                <w:sz w:val="19"/>
                <w:szCs w:val="19"/>
                <w:color w:val="auto"/>
              </w:rPr>
            </w:pPr>
          </w:p>
        </w:tc>
      </w:tr>
      <w:tr>
        <w:trPr>
          <w:trHeight w:val="230"/>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83,288</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92,937</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21.2 %</w:t>
            </w:r>
          </w:p>
        </w:tc>
        <w:tc>
          <w:tcPr>
            <w:tcW w:w="60" w:type="dxa"/>
            <w:vAlign w:val="bottom"/>
          </w:tcPr>
          <w:p>
            <w:pPr>
              <w:spacing w:after="0"/>
              <w:rPr>
                <w:sz w:val="19"/>
                <w:szCs w:val="19"/>
                <w:color w:val="auto"/>
              </w:rPr>
            </w:pPr>
          </w:p>
        </w:tc>
      </w:tr>
      <w:tr>
        <w:trPr>
          <w:trHeight w:val="229"/>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7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13,491</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17,289</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60" w:type="dxa"/>
            <w:vAlign w:val="bottom"/>
          </w:tcPr>
          <w:p>
            <w:pPr>
              <w:spacing w:after="0"/>
              <w:rPr>
                <w:sz w:val="19"/>
                <w:szCs w:val="19"/>
                <w:color w:val="auto"/>
              </w:rPr>
            </w:pPr>
          </w:p>
        </w:tc>
      </w:tr>
      <w:tr>
        <w:trPr>
          <w:trHeight w:val="230"/>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63,113</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54,894</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60" w:type="dxa"/>
            <w:vAlign w:val="bottom"/>
          </w:tcPr>
          <w:p>
            <w:pPr>
              <w:spacing w:after="0"/>
              <w:rPr>
                <w:sz w:val="19"/>
                <w:szCs w:val="19"/>
                <w:color w:val="auto"/>
              </w:rPr>
            </w:pPr>
          </w:p>
        </w:tc>
      </w:tr>
      <w:tr>
        <w:trPr>
          <w:trHeight w:val="23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loss</w:t>
            </w:r>
          </w:p>
        </w:tc>
        <w:tc>
          <w:tcPr>
            <w:tcW w:w="7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00" w:type="dxa"/>
            <w:vAlign w:val="bottom"/>
            <w:gridSpan w:val="3"/>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60" w:type="dxa"/>
            <w:vAlign w:val="bottom"/>
          </w:tcPr>
          <w:p>
            <w:pPr>
              <w:spacing w:after="0"/>
              <w:rPr>
                <w:sz w:val="19"/>
                <w:szCs w:val="19"/>
                <w:color w:val="auto"/>
              </w:rPr>
            </w:pPr>
          </w:p>
        </w:tc>
      </w:tr>
      <w:tr>
        <w:trPr>
          <w:trHeight w:val="230"/>
        </w:trPr>
        <w:tc>
          <w:tcPr>
            <w:tcW w:w="4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7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3,896</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2,119</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60" w:type="dxa"/>
            <w:vAlign w:val="bottom"/>
          </w:tcPr>
          <w:p>
            <w:pPr>
              <w:spacing w:after="0"/>
              <w:rPr>
                <w:sz w:val="19"/>
                <w:szCs w:val="19"/>
                <w:color w:val="auto"/>
              </w:rPr>
            </w:pPr>
          </w:p>
        </w:tc>
      </w:tr>
      <w:tr>
        <w:trPr>
          <w:trHeight w:val="223"/>
        </w:trPr>
        <w:tc>
          <w:tcPr>
            <w:tcW w:w="4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costs and operating expenses</w:t>
            </w:r>
          </w:p>
        </w:tc>
        <w:tc>
          <w:tcPr>
            <w:tcW w:w="7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593,477</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129.0 %</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612,699</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139.9 %</w:t>
            </w:r>
          </w:p>
        </w:tc>
        <w:tc>
          <w:tcPr>
            <w:tcW w:w="60" w:type="dxa"/>
            <w:vAlign w:val="bottom"/>
          </w:tcPr>
          <w:p>
            <w:pPr>
              <w:spacing w:after="0"/>
              <w:rPr>
                <w:sz w:val="19"/>
                <w:szCs w:val="19"/>
                <w:color w:val="auto"/>
              </w:rPr>
            </w:pPr>
          </w:p>
        </w:tc>
      </w:tr>
      <w:tr>
        <w:trPr>
          <w:trHeight w:val="223"/>
        </w:trPr>
        <w:tc>
          <w:tcPr>
            <w:tcW w:w="48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Loss from operations</w:t>
            </w:r>
          </w:p>
        </w:tc>
        <w:tc>
          <w:tcPr>
            <w:tcW w:w="76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(133,283)</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(174,897)</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60" w:type="dxa"/>
            <w:vAlign w:val="bottom"/>
          </w:tcPr>
          <w:p>
            <w:pPr>
              <w:spacing w:after="0"/>
              <w:rPr>
                <w:sz w:val="19"/>
                <w:szCs w:val="19"/>
                <w:color w:val="auto"/>
              </w:rPr>
            </w:pPr>
          </w:p>
        </w:tc>
      </w:tr>
      <w:tr>
        <w:trPr>
          <w:trHeight w:val="23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non-operating expense, net</w:t>
            </w:r>
          </w:p>
        </w:tc>
        <w:tc>
          <w:tcPr>
            <w:tcW w:w="7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63,222</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13.7 %</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8,655</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60" w:type="dxa"/>
            <w:vAlign w:val="bottom"/>
          </w:tcPr>
          <w:p>
            <w:pPr>
              <w:spacing w:after="0"/>
              <w:rPr>
                <w:sz w:val="19"/>
                <w:szCs w:val="19"/>
                <w:color w:val="auto"/>
              </w:rPr>
            </w:pPr>
          </w:p>
        </w:tc>
      </w:tr>
      <w:tr>
        <w:trPr>
          <w:trHeight w:val="223"/>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(196,505)</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(183,552)</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60" w:type="dxa"/>
            <w:vAlign w:val="bottom"/>
          </w:tcPr>
          <w:p>
            <w:pPr>
              <w:spacing w:after="0"/>
              <w:rPr>
                <w:sz w:val="19"/>
                <w:szCs w:val="19"/>
                <w:color w:val="auto"/>
              </w:rPr>
            </w:pPr>
          </w:p>
        </w:tc>
      </w:tr>
      <w:tr>
        <w:trPr>
          <w:trHeight w:val="230"/>
        </w:trPr>
        <w:tc>
          <w:tcPr>
            <w:tcW w:w="4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7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19"/>
                <w:szCs w:val="19"/>
                <w:color w:val="auto"/>
              </w:rPr>
            </w:pPr>
          </w:p>
        </w:tc>
      </w:tr>
      <w:tr>
        <w:trPr>
          <w:trHeight w:val="223"/>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76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(197,131)</w:t>
            </w:r>
          </w:p>
        </w:tc>
        <w:tc>
          <w:tcPr>
            <w:tcW w:w="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(183,679)</w:t>
            </w:r>
          </w:p>
        </w:tc>
        <w:tc>
          <w:tcPr>
            <w:tcW w:w="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60" w:type="dxa"/>
            <w:vAlign w:val="bottom"/>
          </w:tcPr>
          <w:p>
            <w:pPr>
              <w:spacing w:after="0"/>
              <w:rPr>
                <w:sz w:val="19"/>
                <w:szCs w:val="19"/>
                <w:color w:val="auto"/>
              </w:rPr>
            </w:pPr>
          </w:p>
        </w:tc>
      </w:tr>
      <w:tr>
        <w:trPr>
          <w:trHeight w:val="20"/>
        </w:trPr>
        <w:tc>
          <w:tcPr>
            <w:tcW w:w="48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48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Other comprehensive loss:</w:t>
            </w: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4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foreign currency translation adjustment</w:t>
            </w:r>
          </w:p>
        </w:tc>
        <w:tc>
          <w:tcPr>
            <w:tcW w:w="10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(4,633)</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(3,249)</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60" w:type="dxa"/>
            <w:vAlign w:val="bottom"/>
          </w:tcPr>
          <w:p>
            <w:pPr>
              <w:spacing w:after="0"/>
              <w:rPr>
                <w:sz w:val="19"/>
                <w:szCs w:val="19"/>
                <w:color w:val="auto"/>
              </w:rPr>
            </w:pPr>
          </w:p>
        </w:tc>
      </w:tr>
      <w:tr>
        <w:trPr>
          <w:trHeight w:val="248"/>
        </w:trPr>
        <w:tc>
          <w:tcPr>
            <w:tcW w:w="4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76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(201,764)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(186,928)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60" w:type="dxa"/>
            <w:vAlign w:val="bottom"/>
          </w:tcPr>
          <w:p>
            <w:pPr>
              <w:spacing w:after="0"/>
              <w:rPr>
                <w:sz w:val="21"/>
                <w:szCs w:val="2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65"/>
        </w:trPr>
        <w:tc>
          <w:tcPr>
            <w:tcW w:w="4880" w:type="dxa"/>
            <w:vAlign w:val="bottom"/>
          </w:tcPr>
          <w:p>
            <w:pPr>
              <w:spacing w:after="0"/>
              <w:rPr>
                <w:sz w:val="24"/>
                <w:szCs w:val="24"/>
                <w:color w:val="auto"/>
              </w:rPr>
            </w:pPr>
          </w:p>
        </w:tc>
        <w:tc>
          <w:tcPr>
            <w:tcW w:w="10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42</w:t>
            </w: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48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revenue (in thousands, except percentages):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840" w:type="dxa"/>
            <w:vAlign w:val="bottom"/>
          </w:tcPr>
          <w:p>
            <w:pPr>
              <w:spacing w:after="0"/>
              <w:rPr>
                <w:sz w:val="20"/>
                <w:szCs w:val="20"/>
                <w:color w:val="auto"/>
              </w:rPr>
            </w:pPr>
          </w:p>
        </w:tc>
        <w:tc>
          <w:tcPr>
            <w:tcW w:w="122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Change</w:t>
            </w:r>
          </w:p>
        </w:tc>
        <w:tc>
          <w:tcPr>
            <w:tcW w:w="1100" w:type="dxa"/>
            <w:vAlign w:val="bottom"/>
          </w:tcPr>
          <w:p>
            <w:pPr>
              <w:spacing w:after="0"/>
              <w:rPr>
                <w:sz w:val="20"/>
                <w:szCs w:val="20"/>
                <w:color w:val="auto"/>
              </w:rPr>
            </w:pPr>
          </w:p>
        </w:tc>
      </w:tr>
      <w:tr>
        <w:trPr>
          <w:trHeight w:val="27"/>
        </w:trPr>
        <w:tc>
          <w:tcPr>
            <w:tcW w:w="4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4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8"/>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460,194</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437,802</w:t>
            </w:r>
          </w:p>
        </w:tc>
        <w:tc>
          <w:tcPr>
            <w:tcW w:w="1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22,392</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60"/>
        <w:spacing w:after="0" w:line="232" w:lineRule="auto"/>
        <w:rPr>
          <w:sz w:val="20"/>
          <w:szCs w:val="20"/>
          <w:color w:val="auto"/>
        </w:rPr>
      </w:pPr>
      <w:r>
        <w:rPr>
          <w:rFonts w:ascii="Times New Roman" w:cs="Times New Roman" w:eastAsia="Times New Roman" w:hAnsi="Times New Roman"/>
          <w:sz w:val="18"/>
          <w:szCs w:val="18"/>
          <w:color w:val="auto"/>
        </w:rPr>
        <w:t>Revenue increased primarily due to a 1.3% increase in RevPAR and a 3.8% increase in Bookable Nights. The increase in RevPAR was driven by the portfolio optimization program, broader industry trends, product mix between hotels and apartments, geographic mix, cohort mix and the impact of corporate sales and pricing strategies. The increase in Bookable Nights was driven by the timing of Live Unit growth relative to Live Unit decline from the portfolio optimization program.</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Costs and Operating Expenses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total costs and operating expenses (in thousands, except percentages):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4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820" w:type="dxa"/>
            <w:vAlign w:val="bottom"/>
          </w:tcPr>
          <w:p>
            <w:pPr>
              <w:spacing w:after="0"/>
              <w:rPr>
                <w:sz w:val="20"/>
                <w:szCs w:val="20"/>
                <w:color w:val="auto"/>
              </w:rPr>
            </w:pPr>
          </w:p>
        </w:tc>
        <w:tc>
          <w:tcPr>
            <w:tcW w:w="130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Change</w:t>
            </w:r>
          </w:p>
        </w:tc>
        <w:tc>
          <w:tcPr>
            <w:tcW w:w="1140" w:type="dxa"/>
            <w:vAlign w:val="bottom"/>
          </w:tcPr>
          <w:p>
            <w:pPr>
              <w:spacing w:after="0"/>
              <w:rPr>
                <w:sz w:val="20"/>
                <w:szCs w:val="20"/>
                <w:color w:val="auto"/>
              </w:rPr>
            </w:pPr>
          </w:p>
        </w:tc>
      </w:tr>
      <w:tr>
        <w:trPr>
          <w:trHeight w:val="27"/>
        </w:trPr>
        <w:tc>
          <w:tcPr>
            <w:tcW w:w="4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4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4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 (excluding depreciation and amortization)</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288,006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289,947</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43"/>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Operations and support</w:t>
            </w:r>
          </w:p>
        </w:tc>
        <w:tc>
          <w:tcPr>
            <w:tcW w:w="2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141,683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154,426</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7"/>
        </w:trPr>
        <w:tc>
          <w:tcPr>
            <w:tcW w:w="4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83,288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92,937</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43"/>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17,289</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7"/>
        </w:trPr>
        <w:tc>
          <w:tcPr>
            <w:tcW w:w="4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8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63,113</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54,894</w:t>
            </w: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8,219</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15.0 %</w:t>
            </w:r>
          </w:p>
        </w:tc>
      </w:tr>
      <w:tr>
        <w:trPr>
          <w:trHeight w:val="27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loss</w:t>
            </w:r>
          </w:p>
        </w:tc>
        <w:tc>
          <w:tcPr>
            <w:tcW w:w="280" w:type="dxa"/>
            <w:vAlign w:val="bottom"/>
          </w:tcPr>
          <w:p>
            <w:pPr>
              <w:spacing w:after="0"/>
              <w:rPr>
                <w:sz w:val="23"/>
                <w:szCs w:val="23"/>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70"/>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28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3,896</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w:t>
            </w:r>
          </w:p>
        </w:tc>
        <w:tc>
          <w:tcPr>
            <w:tcW w:w="100" w:type="dxa"/>
            <w:vAlign w:val="bottom"/>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10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83.9 %</w:t>
            </w:r>
          </w:p>
        </w:tc>
      </w:tr>
      <w:tr>
        <w:trPr>
          <w:trHeight w:val="263"/>
        </w:trPr>
        <w:tc>
          <w:tcPr>
            <w:tcW w:w="4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costs and operating expenses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593,477</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612,699</w:t>
            </w:r>
          </w:p>
        </w:tc>
        <w:tc>
          <w:tcPr>
            <w:tcW w:w="100" w:type="dxa"/>
            <w:vAlign w:val="bottom"/>
          </w:tcPr>
          <w:p>
            <w:pPr>
              <w:spacing w:after="0"/>
              <w:rPr>
                <w:sz w:val="22"/>
                <w:szCs w:val="22"/>
                <w:color w:val="auto"/>
              </w:rPr>
            </w:pPr>
          </w:p>
        </w:tc>
        <w:tc>
          <w:tcPr>
            <w:tcW w:w="8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(19,222)</w:t>
            </w:r>
          </w:p>
        </w:tc>
        <w:tc>
          <w:tcPr>
            <w:tcW w:w="10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4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u w:val="single" w:color="auto"/>
          <w:color w:val="auto"/>
        </w:rPr>
        <w:t>Cost of Revenue (excluding depreciation and amortization)</w:t>
      </w:r>
      <w:r>
        <w:rPr>
          <w:rFonts w:ascii="Times New Roman" w:cs="Times New Roman" w:eastAsia="Times New Roman" w:hAnsi="Times New Roman"/>
          <w:sz w:val="18"/>
          <w:szCs w:val="18"/>
          <w:color w:val="auto"/>
        </w:rPr>
        <w:t>: Cost of revenue decreased primarily due to: (i) a $6.2 million decrease in rent expense due to the portfolio optimization program, (ii) a $2.7 million increase in cleaning expenses as a result of an increase in the number of checkouts, (iii) a $1.5 million increase in other cost of revenue expenses, and (iv) a $0.1 million increase in credit card fees due to an increase in bookings.</w:t>
      </w:r>
    </w:p>
    <w:p>
      <w:pPr>
        <w:spacing w:after="0" w:line="20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u w:val="single" w:color="auto"/>
          <w:color w:val="auto"/>
        </w:rPr>
        <w:t>Operations and support</w:t>
      </w:r>
      <w:r>
        <w:rPr>
          <w:rFonts w:ascii="Times New Roman" w:cs="Times New Roman" w:eastAsia="Times New Roman" w:hAnsi="Times New Roman"/>
          <w:sz w:val="18"/>
          <w:szCs w:val="18"/>
          <w:color w:val="auto"/>
        </w:rPr>
        <w:t>: The decrease in operations and support was primarily due to: (i) a $5.7 million decrease in unit-related expenses primarily smaller non-capitalized items for the units such as bedding, decor, furniture and lighting, (ii)</w:t>
      </w:r>
    </w:p>
    <w:p>
      <w:pPr>
        <w:jc w:val="both"/>
        <w:spacing w:after="0" w:line="260" w:lineRule="auto"/>
        <w:rPr>
          <w:sz w:val="20"/>
          <w:szCs w:val="20"/>
          <w:color w:val="auto"/>
        </w:rPr>
      </w:pPr>
      <w:r>
        <w:rPr>
          <w:rFonts w:ascii="Times New Roman" w:cs="Times New Roman" w:eastAsia="Times New Roman" w:hAnsi="Times New Roman"/>
          <w:sz w:val="18"/>
          <w:szCs w:val="18"/>
          <w:color w:val="auto"/>
        </w:rPr>
        <w:t>a $5.1 million decrease in employee compensation cost, due to a decrease in average headcount, (iii) a $3.5 million decrease in legal and professional fees, and (iv) a $1.9 million decrease in depreciation expense, partially offset by the cumulative impact of other less significant expense increases.</w:t>
      </w:r>
    </w:p>
    <w:p>
      <w:pPr>
        <w:spacing w:after="0" w:line="2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u w:val="single" w:color="auto"/>
          <w:color w:val="auto"/>
        </w:rPr>
        <w:t>General and administrative</w:t>
      </w:r>
      <w:r>
        <w:rPr>
          <w:rFonts w:ascii="Times New Roman" w:cs="Times New Roman" w:eastAsia="Times New Roman" w:hAnsi="Times New Roman"/>
          <w:sz w:val="18"/>
          <w:szCs w:val="18"/>
          <w:color w:val="auto"/>
        </w:rPr>
        <w:t>: General and administrative expenses decreased, primarily due to: (i) a $21.1 million decrease in employee compensation cost, due to a decrease in average headcount, (ii) a $3.2 million decrease in unit related costs due to the decrease in Live Units, (iii) a $2.5 million decrease in facilities expense related to a reduction on office space and related rent, (iv) additional less significant decreases in insurance, depreciation and other, partially offset by a $14.3 million increase in legal and professional expenses related to corporate matters which includes one-time fees associated with the strategic licensing agreement with Marriott and financing deals, all announced in August 2024 and a $6.8 million increase in taxes primarily related to value added taxes.</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Research and development</w:t>
      </w:r>
      <w:r>
        <w:rPr>
          <w:rFonts w:ascii="Times New Roman" w:cs="Times New Roman" w:eastAsia="Times New Roman" w:hAnsi="Times New Roman"/>
          <w:sz w:val="18"/>
          <w:szCs w:val="18"/>
          <w:color w:val="auto"/>
        </w:rPr>
        <w:t>: Research and development decreased, primarily due to (i) a net $2.3 million decrease in employee compensation driven by a decrease in average headcount, and (ii) a $1.3 million decrease in depreciation, primarily due to a decrease in capitalized software costs.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Sales and marketing</w:t>
      </w:r>
      <w:r>
        <w:rPr>
          <w:rFonts w:ascii="Times New Roman" w:cs="Times New Roman" w:eastAsia="Times New Roman" w:hAnsi="Times New Roman"/>
          <w:sz w:val="18"/>
          <w:szCs w:val="18"/>
          <w:color w:val="auto"/>
        </w:rPr>
        <w:t>: The increase in sales and marketing was primarily due to: (i) a $3.9 million increase in performance marketing expense, and (ii) a $3.2 million increase in channel transaction fees resulting from an increase in revenue booked through third-party OTAs, consistent with total revenue growth.</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u w:val="single" w:color="auto"/>
          <w:color w:val="auto"/>
        </w:rPr>
        <w:t>Impairment loss:</w:t>
      </w:r>
      <w:r>
        <w:rPr>
          <w:rFonts w:ascii="Times New Roman" w:cs="Times New Roman" w:eastAsia="Times New Roman" w:hAnsi="Times New Roman"/>
          <w:sz w:val="18"/>
          <w:szCs w:val="18"/>
          <w:color w:val="auto"/>
        </w:rPr>
        <w:t xml:space="preserve"> Impairment loss decreased, primarily due to improved factors related to the valuation of our operating lease right-of-use (“ROU”) assets, that triggered an impairment charge recognized by the Company in the corresponding prior period.</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Restructuring and other charges</w:t>
      </w:r>
      <w:r>
        <w:rPr>
          <w:rFonts w:ascii="Times New Roman" w:cs="Times New Roman" w:eastAsia="Times New Roman" w:hAnsi="Times New Roman"/>
          <w:sz w:val="18"/>
          <w:szCs w:val="18"/>
          <w:color w:val="auto"/>
        </w:rPr>
        <w:t>: For the nine months ended September 30, 2023, the restructuring and other charges consists primarily of employee termination benefits as a result of the restructuring announced on March 1, 2023. For the nine months ended September 30, 2024, the restructuring and other charges consists of employee termination benefits as a result of a restructuring announced on February 20, 2024. The entirety of the increase in restructuring and other charges is due to the difference in amounts recognized for each of the restructurings discussed above.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Non-Operating Expense, Net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total non-operating expense, net (in thousands, except percentages):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2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800" w:type="dxa"/>
            <w:vAlign w:val="bottom"/>
          </w:tcPr>
          <w:p>
            <w:pPr>
              <w:spacing w:after="0"/>
              <w:rPr>
                <w:sz w:val="20"/>
                <w:szCs w:val="20"/>
                <w:color w:val="auto"/>
              </w:rPr>
            </w:pPr>
          </w:p>
        </w:tc>
        <w:tc>
          <w:tcPr>
            <w:tcW w:w="126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Change</w:t>
            </w:r>
          </w:p>
        </w:tc>
        <w:tc>
          <w:tcPr>
            <w:tcW w:w="1100" w:type="dxa"/>
            <w:vAlign w:val="bottom"/>
          </w:tcPr>
          <w:p>
            <w:pPr>
              <w:spacing w:after="0"/>
              <w:rPr>
                <w:sz w:val="20"/>
                <w:szCs w:val="20"/>
                <w:color w:val="auto"/>
              </w:rPr>
            </w:pPr>
          </w:p>
        </w:tc>
      </w:tr>
      <w:tr>
        <w:trPr>
          <w:trHeight w:val="27"/>
        </w:trPr>
        <w:tc>
          <w:tcPr>
            <w:tcW w:w="47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4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24,595</w:t>
            </w: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18,285</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34.5 %</w:t>
            </w:r>
          </w:p>
        </w:tc>
      </w:tr>
      <w:tr>
        <w:trPr>
          <w:trHeight w:val="243"/>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SPAC Warrants</w:t>
            </w: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r>
      <w:tr>
        <w:trPr>
          <w:trHeight w:val="27"/>
        </w:trPr>
        <w:tc>
          <w:tcPr>
            <w:tcW w:w="4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Earn Out Liability</w:t>
            </w: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w:t>
            </w:r>
          </w:p>
        </w:tc>
      </w:tr>
      <w:tr>
        <w:trPr>
          <w:trHeight w:val="243"/>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adjustment gains, net</w:t>
            </w: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(95,579)</w:t>
            </w: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(8,576)</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(87,003)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preferred stock issuance</w:t>
            </w: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59,490</w:t>
            </w: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59,490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3"/>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forward contract</w:t>
            </w: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86,570</w:t>
            </w: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86,570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4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(11,856)</w:t>
            </w:r>
          </w:p>
        </w:tc>
        <w:tc>
          <w:tcPr>
            <w:tcW w:w="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(13,618)</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(772.9)%</w:t>
            </w:r>
          </w:p>
        </w:tc>
      </w:tr>
      <w:tr>
        <w:trPr>
          <w:trHeight w:val="264"/>
        </w:trPr>
        <w:tc>
          <w:tcPr>
            <w:tcW w:w="4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non-operating expense, net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63,222</w:t>
            </w:r>
          </w:p>
        </w:tc>
        <w:tc>
          <w:tcPr>
            <w:tcW w:w="80" w:type="dxa"/>
            <w:vAlign w:val="bottom"/>
          </w:tcPr>
          <w:p>
            <w:pPr>
              <w:spacing w:after="0"/>
              <w:rPr>
                <w:sz w:val="22"/>
                <w:szCs w:val="22"/>
                <w:color w:val="auto"/>
              </w:rPr>
            </w:pPr>
          </w:p>
        </w:tc>
        <w:tc>
          <w:tcPr>
            <w:tcW w:w="960" w:type="dxa"/>
            <w:vAlign w:val="bottom"/>
            <w:tcBorders>
              <w:top w:val="single" w:sz="8" w:color="auto"/>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8,655</w:t>
            </w:r>
          </w:p>
        </w:tc>
        <w:tc>
          <w:tcPr>
            <w:tcW w:w="100" w:type="dxa"/>
            <w:vAlign w:val="bottom"/>
          </w:tcPr>
          <w:p>
            <w:pPr>
              <w:spacing w:after="0"/>
              <w:rPr>
                <w:sz w:val="22"/>
                <w:szCs w:val="22"/>
                <w:color w:val="auto"/>
              </w:rPr>
            </w:pPr>
          </w:p>
        </w:tc>
        <w:tc>
          <w:tcPr>
            <w:tcW w:w="80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54,567</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630.5 %</w:t>
            </w:r>
          </w:p>
        </w:tc>
      </w:tr>
      <w:tr>
        <w:trPr>
          <w:trHeight w:val="20"/>
        </w:trPr>
        <w:tc>
          <w:tcPr>
            <w:tcW w:w="4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to the significance of the change, the percentage is not considered meaningful.</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expense, net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Interest expense, net increased primarily due to interest expense recognized on the Company’s Delayed Draw Notes.</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Change in fair value of SPAC Warrants</w:t>
      </w:r>
      <w:r>
        <w:rPr>
          <w:rFonts w:ascii="Times New Roman" w:cs="Times New Roman" w:eastAsia="Times New Roman" w:hAnsi="Times New Roman"/>
          <w:sz w:val="18"/>
          <w:szCs w:val="18"/>
          <w:color w:val="auto"/>
        </w:rPr>
        <w:t>. The change in the fair value of this line item resulted primarily from a decrease in our stock price period-over-period.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Change in fair value of Earn Out Liability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change in the fair value of this line item resulted from a decrease in our stock price period-over-period.</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Lease adjustment gains, net</w:t>
      </w:r>
      <w:r>
        <w:rPr>
          <w:rFonts w:ascii="Times New Roman" w:cs="Times New Roman" w:eastAsia="Times New Roman" w:hAnsi="Times New Roman"/>
          <w:sz w:val="18"/>
          <w:szCs w:val="18"/>
          <w:color w:val="auto"/>
        </w:rPr>
        <w:t>. The lease adjustment gains, net is due to the residual impact of lease terminations. The Company in 2024 has undertaken an initiative to renegotiate or exit certain properties where there exists unfavorable lease terms.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Loss on preferred stock issuance.</w:t>
      </w:r>
      <w:r>
        <w:rPr>
          <w:rFonts w:ascii="Times New Roman" w:cs="Times New Roman" w:eastAsia="Times New Roman" w:hAnsi="Times New Roman"/>
          <w:sz w:val="18"/>
          <w:szCs w:val="18"/>
          <w:color w:val="auto"/>
        </w:rPr>
        <w:t xml:space="preserve"> The loss on preferred stock issuance of $58.2 million was recorded for the nine months ended September 30, 2024, attributable to the Securities Purchase Agreements entered into by the Company on August 13, 2024. The agreement provided for 43.3 million newly issued shares of Series A Convertible Preferred Stock, par value $0.0001 per share (the “Series A Preferred Stock”), in exchange for cash consideration in an aggregate amount of approximately $43.3 million. The shares were valued in excess of the proceeds received as part of the transaction. The Company identified the following two freestanding financial instruments issued in connection with the transaction, a) Mezzanine equity-classified Series A Convertible Preferred Stock and b) Liability-classified forward contract for commitments of investors to purchase, and commitments of the Company to sell additional Series A Convertible Preferred Stock. As of the transaction inception, these instruments had an aggregate fair value of $72.9 million and the Company received $14.7 million from the first tranche closing, resulting in the $58.2 million loss on preferred stock issuance. No similar loss was recognized during the nine months ended September 30, 2023, as no issuance of this nature occurred.</w:t>
      </w:r>
    </w:p>
    <w:p>
      <w:pPr>
        <w:spacing w:after="0" w:line="2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Securities Purchase Agreements also grants the Purchasers the right to purchase up to 25% of any equity offering within the next five years (a “Subsequent Financing”). The Purchasers are entitled to participate on a pro-rata basis (determined by their proportionate participation in the Private Placement) at a purchase price equal to 75% of the purchase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price of any other investor in such Subsequent Financing. The Company recognized a liability for this preferred stock participation right of $1.3 million within other current liabilities in the condensed consolidated balance sheets as of September 30, 2024. The Company recognized a change in fair value of the participation right of $12 thousand as the remeasurement reflecting fluctuations in the underlying variables and assumptions from inception on August 13, 2024 through the quarter ended on September 30, 2024.</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Change in fair value of forward contracts.</w:t>
      </w:r>
      <w:r>
        <w:rPr>
          <w:rFonts w:ascii="Times New Roman" w:cs="Times New Roman" w:eastAsia="Times New Roman" w:hAnsi="Times New Roman"/>
          <w:sz w:val="18"/>
          <w:szCs w:val="18"/>
          <w:color w:val="auto"/>
        </w:rPr>
        <w:t xml:space="preserve"> As part of the Securities Purchase Agreements entered into by the Company on August 13, 2024, the transaction included a Liability-classified forward contract for commitments of investors to purchase, and commitments of the Company to sell additional Series A Convertible Preferred Stock. The change in fair value of the forward contract of $86.6 million represents the remeasurement reflecting fluctuations in the underlying variables and assumptions from inception on August 13, 2024 through the quarter ended on September 30, 2024. No similar change in fair value of forward contract was recognized during the nine months ended September 30, 2023, as no issuance of this nature occurred.</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Other (income) expense, net</w:t>
      </w:r>
      <w:r>
        <w:rPr>
          <w:rFonts w:ascii="Times New Roman" w:cs="Times New Roman" w:eastAsia="Times New Roman" w:hAnsi="Times New Roman"/>
          <w:sz w:val="18"/>
          <w:szCs w:val="18"/>
          <w:color w:val="auto"/>
        </w:rPr>
        <w:t>. The change in other (income) expense, net is primarily due to fluctuations in foreign currency rates which impacted the remeasurement of foreign balances to reporting currency.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provision for income taxes (in thousands, except percentages):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29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6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Change</w:t>
            </w:r>
          </w:p>
        </w:tc>
        <w:tc>
          <w:tcPr>
            <w:tcW w:w="1100" w:type="dxa"/>
            <w:vAlign w:val="bottom"/>
          </w:tcPr>
          <w:p>
            <w:pPr>
              <w:spacing w:after="0"/>
              <w:rPr>
                <w:sz w:val="20"/>
                <w:szCs w:val="20"/>
                <w:color w:val="auto"/>
              </w:rPr>
            </w:pPr>
          </w:p>
        </w:tc>
      </w:tr>
      <w:tr>
        <w:trPr>
          <w:trHeight w:val="27"/>
        </w:trPr>
        <w:tc>
          <w:tcPr>
            <w:tcW w:w="46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4620" w:type="dxa"/>
            <w:vAlign w:val="bottom"/>
          </w:tcPr>
          <w:p>
            <w:pPr>
              <w:spacing w:after="0"/>
              <w:rPr>
                <w:sz w:val="20"/>
                <w:szCs w:val="20"/>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2024</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2023</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6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8"/>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120" w:type="dxa"/>
            <w:vAlign w:val="bottom"/>
            <w:tcBorders>
              <w:bottom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8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392.9 %</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for income taxes increased, primarily as a result of growth of our operations and taxable income in foreign jurisdictions.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prepare our consolidated financial statements in conformity with accounting principles generally accepted in the United States of America (“GAAP” or “U.S. GAAP”). However, some of the financial measures discussed herein are non-GAAP financial measures. In accordance with SEC rules, we classify a financial measure as being a non-GAAP financial measure if that financial measure excludes or includes amounts, or is subject to adjustments that have the effect of excluding or including amounts, that are included or excluded, as the case may be, in the most directly comparable measure calculated and presented in accordance with GAAP in our condensed consolidated statements of operations and comprehensive income (loss), balance sheets, or statements of cash flows.</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supplement the condensed consolidated financial statements, which are prepared and presented in accordance with GAAP, we use the following non-GAAP financial measures: Adjusted FCF, Adjusted Earnings Before Interest, Taxes, Depreciation and Amortization (“Adjusted EBITDA”) and Adjusted Earnings Before Interest, Taxes, Depreciation and Amortization, and Operating Lease Related Rent Charges (“Adjusted EBITDAR”) (collectively, the “non-GAAP financial measures”). We may periodically review and update our non-GAAP financial measures based on our determination of their relevance to our business which could result in the addition or elimination of select non-GAAP financial measures in the future.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Free Cash Flow (FCF)</w:t>
            </w:r>
          </w:p>
        </w:tc>
        <w:tc>
          <w:tcPr>
            <w:tcW w:w="3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59"/>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the calculation of Adjusted FCF (in thousands):</w:t>
            </w: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513"/>
        </w:trPr>
        <w:tc>
          <w:tcPr>
            <w:tcW w:w="7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380" w:type="dxa"/>
            <w:vAlign w:val="bottom"/>
            <w:gridSpan w:val="4"/>
          </w:tcPr>
          <w:p>
            <w:pPr>
              <w:jc w:val="right"/>
              <w:ind w:right="530"/>
              <w:spacing w:after="0"/>
              <w:rPr>
                <w:sz w:val="20"/>
                <w:szCs w:val="20"/>
                <w:color w:val="auto"/>
              </w:rPr>
            </w:pPr>
            <w:r>
              <w:rPr>
                <w:rFonts w:ascii="Times New Roman" w:cs="Times New Roman" w:eastAsia="Times New Roman" w:hAnsi="Times New Roman"/>
                <w:sz w:val="18"/>
                <w:szCs w:val="18"/>
                <w:color w:val="auto"/>
              </w:rPr>
              <w:t>Nine months ended September 30,</w:t>
            </w:r>
          </w:p>
        </w:tc>
      </w:tr>
      <w:tr>
        <w:trPr>
          <w:trHeight w:val="27"/>
        </w:trPr>
        <w:tc>
          <w:tcPr>
            <w:tcW w:w="75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7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6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2023</w:t>
            </w:r>
          </w:p>
        </w:tc>
      </w:tr>
      <w:tr>
        <w:trPr>
          <w:trHeight w:val="27"/>
        </w:trPr>
        <w:tc>
          <w:tcPr>
            <w:tcW w:w="75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23"/>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(90,451)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(72,537)</w:t>
            </w:r>
          </w:p>
        </w:tc>
      </w:tr>
      <w:tr>
        <w:trPr>
          <w:trHeight w:val="229"/>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3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(2,095)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(12,436)</w:t>
            </w:r>
          </w:p>
        </w:tc>
      </w:tr>
      <w:tr>
        <w:trPr>
          <w:trHeight w:val="223"/>
        </w:trPr>
        <w:tc>
          <w:tcPr>
            <w:tcW w:w="7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FCF, including cash paid for lease terminations, restructuring, and professional fees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(92,546)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(84,973)</w:t>
            </w:r>
          </w:p>
        </w:tc>
      </w:tr>
      <w:tr>
        <w:trPr>
          <w:trHeight w:val="229"/>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lease termination costs</w:t>
            </w:r>
          </w:p>
        </w:tc>
        <w:tc>
          <w:tcPr>
            <w:tcW w:w="360" w:type="dxa"/>
            <w:vAlign w:val="bottom"/>
          </w:tcPr>
          <w:p>
            <w:pPr>
              <w:spacing w:after="0"/>
              <w:rPr>
                <w:sz w:val="19"/>
                <w:szCs w:val="19"/>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14,335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restructuring costs</w:t>
            </w: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2,965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2,150</w:t>
            </w:r>
          </w:p>
        </w:tc>
      </w:tr>
      <w:tr>
        <w:trPr>
          <w:trHeight w:val="230"/>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paid for non-recurring professional fees</w:t>
            </w:r>
          </w:p>
        </w:tc>
        <w:tc>
          <w:tcPr>
            <w:tcW w:w="3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11,300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7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Adjusted FCF</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(63,946)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(82,823)</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Adjusted FCF represents cash used in operating activities plus cash used in investing activities, excluding the impact of lease terminations, restructuring, and non-recurring professional fee charges related to non-operational activities. The most directly comparable GAAP financial measures are cash used in operating activities when combined with cash used investing activities. Our near-term focus is to reach sustainable positive Adjusted FCF as detailed in our Cash Flow Positive Plan.</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Adjusted FCF is meaningful to investors as it is the primary liquidity measure that we focus on internally to evaluate our progress towards the objectives outlined in our Cash Flow Positive Plan. We believe that achieving our goals around this measure will put us on a path to financial sustainability and will help fund our future growth.</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FCF measures may differ from similarly titled measures used by other companies due to different methods of calculation. Presentation of these measures is not intended to be considered in isolation or as a substitute for, or superior to, the financial information prepared and presented in accordance with GAAP. In addition, this measure may not provide a complete understanding of our cash flow as a whole. As such, these measures should be reviewed in conjunction with our GAAP cash flow.</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change in Adjusted FCF period-over-period represented a 22.8% increase, primarily driven by increased adjustments for cash paid for lease terminations, restructuring and professional fees totaling $26.5 million, a decrease in cash used in investing activities of $10.3 million and offset by an increase in cash used in operating activities of $17.9 million. Refer to the section entitled “Liquidity and Capital Resources – Cash Flow Information” below for further discussion surrounding the changes in our cash flow figures period-over-period.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define Adjusted EBITDA as net income (loss) as adjusted to eliminate the impact of net interest expense, provision for income taxes, depreciation and amortization expense, and certain other items as indicated. The exclusion of these items and other similar items in our non-GAAP presentation should not be interpreted as implying that these items are non-recurring, infrequent or unusual. The indicated other items excluded are as follows:</w:t>
      </w:r>
    </w:p>
    <w:p>
      <w:pPr>
        <w:spacing w:after="0" w:line="20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Stock-based Compensation Expense. </w:t>
      </w:r>
      <w:r>
        <w:rPr>
          <w:rFonts w:ascii="Times New Roman" w:cs="Times New Roman" w:eastAsia="Times New Roman" w:hAnsi="Times New Roman"/>
          <w:sz w:val="18"/>
          <w:szCs w:val="18"/>
          <w:color w:val="auto"/>
        </w:rPr>
        <w:t>Non-cash, stock-based compensation expense relates to our equity plan. We exclude such expense when assessing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effectiveness of our operating performance since stock-based compensation does not necessarily correlate with the underlying operating performance of the business.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Lease adjustment gains, net. </w:t>
      </w:r>
      <w:r>
        <w:rPr>
          <w:rFonts w:ascii="Times New Roman" w:cs="Times New Roman" w:eastAsia="Times New Roman" w:hAnsi="Times New Roman"/>
          <w:sz w:val="18"/>
          <w:szCs w:val="18"/>
          <w:color w:val="auto"/>
        </w:rPr>
        <w:t>These net gains reflect the impact of lease terminations and modifications.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loss</w:t>
      </w:r>
      <w:r>
        <w:rPr>
          <w:rFonts w:ascii="Times New Roman" w:cs="Times New Roman" w:eastAsia="Times New Roman" w:hAnsi="Times New Roman"/>
          <w:sz w:val="18"/>
          <w:szCs w:val="18"/>
          <w:color w:val="auto"/>
        </w:rPr>
        <w:t>. Impairment loss includes impairment charges recognized related to the valuation of our operating lease right-of-use (“ROU”) assets.</w:t>
      </w:r>
    </w:p>
    <w:p>
      <w:pPr>
        <w:spacing w:after="0" w:line="25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Loss on preferred stock issuance. </w:t>
      </w:r>
      <w:r>
        <w:rPr>
          <w:rFonts w:ascii="Times New Roman" w:cs="Times New Roman" w:eastAsia="Times New Roman" w:hAnsi="Times New Roman"/>
          <w:sz w:val="18"/>
          <w:szCs w:val="18"/>
          <w:color w:val="auto"/>
        </w:rPr>
        <w:t>The loss on preferred stock issuance was recorded due to the Series A Preferred Stock being valued in excess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proceeds received, as part of the Securities Purchase Agreements transactions.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Change in fair value of forward contract. </w:t>
      </w:r>
      <w:r>
        <w:rPr>
          <w:rFonts w:ascii="Times New Roman" w:cs="Times New Roman" w:eastAsia="Times New Roman" w:hAnsi="Times New Roman"/>
          <w:sz w:val="18"/>
          <w:szCs w:val="18"/>
          <w:color w:val="auto"/>
        </w:rPr>
        <w:t>The change in fair value of the liability-classified forward contract, which resulted from the commitments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investors to purchase, and commitments of the Company to sell, additional Series A Convertible Preferred Stock, as part of the Security Purchase Agreements.</w:t>
      </w:r>
    </w:p>
    <w:p>
      <w:pPr>
        <w:spacing w:after="0" w:line="20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Restructuring and other related charges</w:t>
      </w:r>
      <w:r>
        <w:rPr>
          <w:rFonts w:ascii="Times New Roman" w:cs="Times New Roman" w:eastAsia="Times New Roman" w:hAnsi="Times New Roman"/>
          <w:sz w:val="18"/>
          <w:szCs w:val="18"/>
          <w:color w:val="auto"/>
        </w:rPr>
        <w:t>. The aggregate adjustment for expenses associated with our restructuring plans as discussed in</w:t>
      </w:r>
      <w:r>
        <w:rPr>
          <w:rFonts w:ascii="Times New Roman" w:cs="Times New Roman" w:eastAsia="Times New Roman" w:hAnsi="Times New Roman"/>
          <w:sz w:val="18"/>
          <w:szCs w:val="18"/>
          <w:i w:val="1"/>
          <w:iCs w:val="1"/>
          <w:color w:val="auto"/>
        </w:rPr>
        <w:t xml:space="preserve"> Note 14</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Restructuring Activities, to our financial statements as presented.</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Professional fees. </w:t>
      </w:r>
      <w:r>
        <w:rPr>
          <w:rFonts w:ascii="Times New Roman" w:cs="Times New Roman" w:eastAsia="Times New Roman" w:hAnsi="Times New Roman"/>
          <w:sz w:val="18"/>
          <w:szCs w:val="18"/>
          <w:color w:val="auto"/>
        </w:rPr>
        <w:t>One-time and/or non-recurring professional fees associated with special projects, including but not limited to our strategic licensing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with Marriott, financing activities, restatement, and other non-operating initiatives.</w:t>
      </w:r>
    </w:p>
    <w:p>
      <w:pPr>
        <w:spacing w:after="0" w:line="18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believe Adjusted EBITDA is meaningful to investors as it is the primary operating performance measure that we focus on internally to evaluate our core operating performance. Adjusted EBITDA provides a consistent basis for comparison across reporting periods by excluding interest, taxes, depreciation and amortization, and certain one-time, non-recurring or non-operational items, such as lease adjustment gains, net, restructuring and other related charges, and professional fees related to discrete projects such as fees associated with the integration in connection with the strategic licensing agreement with Marriott and restatement activities. It serves as a key measure for us to align the Company financial performance with our internal financial planning and analysis.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20" w:type="dxa"/>
            <w:vAlign w:val="bottom"/>
            <w:gridSpan w:val="5"/>
          </w:tcPr>
          <w:p>
            <w:pPr>
              <w:ind w:left="24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360" w:type="dxa"/>
            <w:vAlign w:val="bottom"/>
          </w:tcPr>
          <w:p>
            <w:pPr>
              <w:spacing w:after="0"/>
              <w:rPr>
                <w:sz w:val="20"/>
                <w:szCs w:val="20"/>
                <w:color w:val="auto"/>
              </w:rPr>
            </w:pPr>
          </w:p>
        </w:tc>
        <w:tc>
          <w:tcPr>
            <w:tcW w:w="3360" w:type="dxa"/>
            <w:vAlign w:val="bottom"/>
            <w:gridSpan w:val="4"/>
          </w:tcPr>
          <w:p>
            <w:pPr>
              <w:jc w:val="right"/>
              <w:ind w:right="530"/>
              <w:spacing w:after="0"/>
              <w:rPr>
                <w:sz w:val="20"/>
                <w:szCs w:val="20"/>
                <w:color w:val="auto"/>
              </w:rPr>
            </w:pPr>
            <w:r>
              <w:rPr>
                <w:rFonts w:ascii="Times New Roman" w:cs="Times New Roman" w:eastAsia="Times New Roman" w:hAnsi="Times New Roman"/>
                <w:sz w:val="18"/>
                <w:szCs w:val="18"/>
                <w:color w:val="auto"/>
              </w:rPr>
              <w:t>Nine months ended September 30,</w:t>
            </w:r>
          </w:p>
        </w:tc>
      </w:tr>
      <w:tr>
        <w:trPr>
          <w:trHeight w:val="27"/>
        </w:trPr>
        <w:tc>
          <w:tcPr>
            <w:tcW w:w="36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3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2023</w:t>
            </w:r>
          </w:p>
        </w:tc>
      </w:tr>
      <w:tr>
        <w:trPr>
          <w:trHeight w:val="27"/>
        </w:trPr>
        <w:tc>
          <w:tcPr>
            <w:tcW w:w="3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23"/>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(179,391)</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(57,630)</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(197,131)</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(183,679)</w:t>
            </w:r>
          </w:p>
        </w:tc>
      </w:tr>
      <w:tr>
        <w:trPr>
          <w:trHeight w:val="229"/>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40" w:type="dxa"/>
            <w:vAlign w:val="bottom"/>
          </w:tcPr>
          <w:p>
            <w:pPr>
              <w:spacing w:after="0"/>
              <w:rPr>
                <w:sz w:val="19"/>
                <w:szCs w:val="19"/>
                <w:color w:val="auto"/>
              </w:rPr>
            </w:pPr>
          </w:p>
        </w:tc>
        <w:tc>
          <w:tcPr>
            <w:tcW w:w="1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9,256</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6,423</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24,595</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18,285</w:t>
            </w:r>
          </w:p>
        </w:tc>
      </w:tr>
      <w:tr>
        <w:trPr>
          <w:trHeight w:val="230"/>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202</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626</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127</w:t>
            </w:r>
          </w:p>
        </w:tc>
      </w:tr>
      <w:tr>
        <w:trPr>
          <w:trHeight w:val="229"/>
        </w:trPr>
        <w:tc>
          <w:tcPr>
            <w:tcW w:w="3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3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3,385</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5,882</w:t>
            </w:r>
          </w:p>
        </w:tc>
        <w:tc>
          <w:tcPr>
            <w:tcW w:w="1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13,350</w:t>
            </w:r>
          </w:p>
        </w:tc>
        <w:tc>
          <w:tcPr>
            <w:tcW w:w="1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18,908</w:t>
            </w:r>
          </w:p>
        </w:tc>
      </w:tr>
      <w:tr>
        <w:trPr>
          <w:trHeight w:val="223"/>
        </w:trPr>
        <w:tc>
          <w:tcPr>
            <w:tcW w:w="3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EBITDA</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(166,548)</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(45,250)</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(158,560)</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(146,359)</w:t>
            </w:r>
          </w:p>
        </w:tc>
      </w:tr>
      <w:tr>
        <w:trPr>
          <w:trHeight w:val="230"/>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tcPr>
          <w:p>
            <w:pPr>
              <w:spacing w:after="0"/>
              <w:rPr>
                <w:sz w:val="19"/>
                <w:szCs w:val="19"/>
                <w:color w:val="auto"/>
              </w:rPr>
            </w:pPr>
          </w:p>
        </w:tc>
        <w:tc>
          <w:tcPr>
            <w:tcW w:w="1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1,614</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4,924</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6,402</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23,982</w:t>
            </w:r>
          </w:p>
        </w:tc>
      </w:tr>
      <w:tr>
        <w:trPr>
          <w:trHeight w:val="230"/>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adjustment gains, net</w:t>
            </w: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(555)</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(139)</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(95,579)</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(8,576)</w:t>
            </w:r>
          </w:p>
        </w:tc>
      </w:tr>
      <w:tr>
        <w:trPr>
          <w:trHeight w:val="229"/>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loss</w:t>
            </w:r>
          </w:p>
        </w:tc>
        <w:tc>
          <w:tcPr>
            <w:tcW w:w="340" w:type="dxa"/>
            <w:vAlign w:val="bottom"/>
          </w:tcPr>
          <w:p>
            <w:pPr>
              <w:spacing w:after="0"/>
              <w:rPr>
                <w:sz w:val="19"/>
                <w:szCs w:val="19"/>
                <w:color w:val="auto"/>
              </w:rPr>
            </w:pPr>
          </w:p>
        </w:tc>
        <w:tc>
          <w:tcPr>
            <w:tcW w:w="15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1,087</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1,087</w:t>
            </w:r>
          </w:p>
        </w:tc>
      </w:tr>
      <w:tr>
        <w:trPr>
          <w:trHeight w:val="230"/>
        </w:trPr>
        <w:tc>
          <w:tcPr>
            <w:tcW w:w="36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Loss on preferred stock issuance</w:t>
            </w:r>
            <w:r>
              <w:rPr>
                <w:rFonts w:ascii="Times New Roman" w:cs="Times New Roman" w:eastAsia="Times New Roman" w:hAnsi="Times New Roman"/>
                <w:sz w:val="23"/>
                <w:szCs w:val="23"/>
                <w:color w:val="auto"/>
                <w:vertAlign w:val="superscript"/>
              </w:rPr>
              <w:t>(1)</w:t>
            </w: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59,490</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59,490</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forward contract</w:t>
            </w:r>
          </w:p>
        </w:tc>
        <w:tc>
          <w:tcPr>
            <w:tcW w:w="340" w:type="dxa"/>
            <w:vAlign w:val="bottom"/>
          </w:tcPr>
          <w:p>
            <w:pPr>
              <w:spacing w:after="0"/>
              <w:rPr>
                <w:sz w:val="19"/>
                <w:szCs w:val="19"/>
                <w:color w:val="auto"/>
              </w:rPr>
            </w:pPr>
          </w:p>
        </w:tc>
        <w:tc>
          <w:tcPr>
            <w:tcW w:w="1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86,570</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86,570</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other related charges</w:t>
            </w:r>
          </w:p>
        </w:tc>
        <w:tc>
          <w:tcPr>
            <w:tcW w:w="3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1,304</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3,896</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2,119</w:t>
            </w:r>
          </w:p>
        </w:tc>
      </w:tr>
      <w:tr>
        <w:trPr>
          <w:trHeight w:val="230"/>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Non-recurring professional fees</w:t>
            </w:r>
          </w:p>
        </w:tc>
        <w:tc>
          <w:tcPr>
            <w:tcW w:w="340" w:type="dxa"/>
            <w:vAlign w:val="bottom"/>
          </w:tcPr>
          <w:p>
            <w:pPr>
              <w:spacing w:after="0"/>
              <w:rPr>
                <w:sz w:val="19"/>
                <w:szCs w:val="19"/>
                <w:color w:val="auto"/>
              </w:rPr>
            </w:pPr>
          </w:p>
        </w:tc>
        <w:tc>
          <w:tcPr>
            <w:tcW w:w="1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5,728</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12,605</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36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Adjusted EBITDA</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(12,397)</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(39,366)</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(85,176)</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(127,747)</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left="180" w:hanging="172"/>
        <w:spacing w:after="0"/>
        <w:tabs>
          <w:tab w:leader="none" w:pos="180"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$1.3 million associated with the preferred stock participation right.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EBITDAR</w:t>
      </w:r>
    </w:p>
    <w:p>
      <w:pPr>
        <w:spacing w:after="0" w:line="24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We define Adjusted EBITDAR as Adjusted EBITDA adjusted for operating lease related rent charges. We believe Adjusted EBITDAR is meaningful to investors as it is an operating performance measure that further enables us to assess our operating performance independent of operating leases, offering insights into our cash flow and performance.</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60" w:type="dxa"/>
            <w:vAlign w:val="bottom"/>
            <w:gridSpan w:val="5"/>
          </w:tcPr>
          <w:p>
            <w:pPr>
              <w:ind w:left="24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360" w:type="dxa"/>
            <w:vAlign w:val="bottom"/>
          </w:tcPr>
          <w:p>
            <w:pPr>
              <w:spacing w:after="0"/>
              <w:rPr>
                <w:sz w:val="20"/>
                <w:szCs w:val="20"/>
                <w:color w:val="auto"/>
              </w:rPr>
            </w:pPr>
          </w:p>
        </w:tc>
        <w:tc>
          <w:tcPr>
            <w:tcW w:w="3340" w:type="dxa"/>
            <w:vAlign w:val="bottom"/>
            <w:gridSpan w:val="4"/>
          </w:tcPr>
          <w:p>
            <w:pPr>
              <w:jc w:val="right"/>
              <w:ind w:right="510"/>
              <w:spacing w:after="0"/>
              <w:rPr>
                <w:sz w:val="20"/>
                <w:szCs w:val="20"/>
                <w:color w:val="auto"/>
              </w:rPr>
            </w:pPr>
            <w:r>
              <w:rPr>
                <w:rFonts w:ascii="Times New Roman" w:cs="Times New Roman" w:eastAsia="Times New Roman" w:hAnsi="Times New Roman"/>
                <w:sz w:val="18"/>
                <w:szCs w:val="18"/>
                <w:color w:val="auto"/>
              </w:rPr>
              <w:t>Nine months ended September 30,</w:t>
            </w:r>
          </w:p>
        </w:tc>
      </w:tr>
      <w:tr>
        <w:trPr>
          <w:trHeight w:val="27"/>
        </w:trPr>
        <w:tc>
          <w:tcPr>
            <w:tcW w:w="3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3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6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2023</w:t>
            </w:r>
          </w:p>
        </w:tc>
      </w:tr>
      <w:tr>
        <w:trPr>
          <w:trHeight w:val="27"/>
        </w:trPr>
        <w:tc>
          <w:tcPr>
            <w:tcW w:w="3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23"/>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(12,397)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(39,366)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(85,176)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(127,747)</w:t>
            </w:r>
          </w:p>
        </w:tc>
      </w:tr>
      <w:tr>
        <w:trPr>
          <w:trHeight w:val="230"/>
        </w:trPr>
        <w:tc>
          <w:tcPr>
            <w:tcW w:w="37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Operating lease related rent charges</w:t>
            </w:r>
          </w:p>
        </w:tc>
        <w:tc>
          <w:tcPr>
            <w:tcW w:w="3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72,614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83,845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230,776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236,660</w:t>
            </w:r>
          </w:p>
        </w:tc>
      </w:tr>
      <w:tr>
        <w:trPr>
          <w:trHeight w:val="248"/>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EBITDAR</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60,217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44,479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145,600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108,913</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these non-GAAP measures are helpful to investors by providing a clearer view of our core operations and allowing better comparability with other companies.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Going Concern Considerations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ASC Topic 205-40, Going Concern, management evaluates whether there are certain conditions and events, considered in the aggregate, that raise substantial doubt about the Company’s ability to continue as a going concern. This evaluation includes considerations related to the Company’s forecasted liquidity and cash consumption requirements for one year from the date of issuance of this Quarterly Report on Form 10-Q.</w:t>
      </w:r>
    </w:p>
    <w:p>
      <w:pPr>
        <w:spacing w:after="0" w:line="2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As discussed in Note 1, </w:t>
      </w:r>
      <w:r>
        <w:rPr>
          <w:rFonts w:ascii="Times New Roman" w:cs="Times New Roman" w:eastAsia="Times New Roman" w:hAnsi="Times New Roman"/>
          <w:sz w:val="18"/>
          <w:szCs w:val="18"/>
          <w:i w:val="1"/>
          <w:iCs w:val="1"/>
          <w:color w:val="auto"/>
        </w:rPr>
        <w:t>Basis of Presentation</w:t>
      </w:r>
      <w:r>
        <w:rPr>
          <w:rFonts w:ascii="Times New Roman" w:cs="Times New Roman" w:eastAsia="Times New Roman" w:hAnsi="Times New Roman"/>
          <w:sz w:val="18"/>
          <w:szCs w:val="18"/>
          <w:color w:val="auto"/>
        </w:rPr>
        <w:t>, to the condensed consolidated financial statements included in this Quarterly Report on Form 10-Q, the Company has, throughout 2024, announced a series of financing arrangements and cost optimization initiatives. Additionally, in August 2024, the Company entered into the Marriott Agreement, whereby the Company’s portfolio of properties is expected to join the Marriott system under a newly-created collection called “Sonder by Marriott Bonvoy.”</w:t>
      </w:r>
    </w:p>
    <w:p>
      <w:pPr>
        <w:spacing w:after="0" w:line="20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While the 2024 actions discussed in Note 1, </w:t>
      </w:r>
      <w:r>
        <w:rPr>
          <w:rFonts w:ascii="Times New Roman" w:cs="Times New Roman" w:eastAsia="Times New Roman" w:hAnsi="Times New Roman"/>
          <w:sz w:val="18"/>
          <w:szCs w:val="18"/>
          <w:i w:val="1"/>
          <w:iCs w:val="1"/>
          <w:color w:val="auto"/>
        </w:rPr>
        <w:t>Basis of Presentation</w:t>
      </w:r>
      <w:r>
        <w:rPr>
          <w:rFonts w:ascii="Times New Roman" w:cs="Times New Roman" w:eastAsia="Times New Roman" w:hAnsi="Times New Roman"/>
          <w:sz w:val="18"/>
          <w:szCs w:val="18"/>
          <w:color w:val="auto"/>
        </w:rPr>
        <w:t>, demonstrate a series of material steps taken to improve the Company’s financial condition, the Company has a history of net losses and negative operating cash flows and expects to continue to incur additional losses in the near future. Additionally, the benefits of the Company’s recent financing arrangements and licensing agreement are contingent upon the successful execution of a number of critical milestones. The timing of the completion of these milestones cannot be guaranteed to ensure liquidity is available when needed to meet the Company’s obligations. As a result of these considerations, management has concluded that there is substantial doubt, which is not alleviated, about the Company’s ability to continue as a going concern for at least one year from the date of issuance of this Quarterly Report on Form 10-Q.</w:t>
      </w:r>
    </w:p>
    <w:p>
      <w:pPr>
        <w:spacing w:after="0" w:line="2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address the substantial doubt about the Company's ability to continue as a going concern, as described above, the Company has embarked on the following actions:</w:t>
      </w:r>
    </w:p>
    <w:p>
      <w:pPr>
        <w:spacing w:after="0" w:line="189"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engaged a financial advisor to assist in identifying and securing strategic alternatives and financing arrangements,</w:t>
      </w:r>
    </w:p>
    <w:p>
      <w:pPr>
        <w:spacing w:after="0" w:line="27"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launched a portfolio optimization program, which involves discussions with landlords about renegotiating the terms of our leases, including terminations, at certain properties; as of June 10, 2024, the Company has signed agreements to exit or reduce rent for approximately 105 buildings, or 4,300 units, which is expected to lead to estimated annualized run-rate FCF improvements of over $40.0 million of which the Company expects termination fees of less than $20.0 million associated with these agreements; of the approximately 80 buildings, or 3,200 units, with finalized exit agreements, the Company has exited approximately 70 buildings, or 2,800 units, as of September 30, 2024 and expects to exit the remaining buildings throughout the remainder of 2024 and 2025,</w:t>
      </w:r>
    </w:p>
    <w:p>
      <w:pPr>
        <w:spacing w:after="0" w:line="2"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implemented a series of deep cost-cutting initiatives; in February 2024, the Company announced a reduction in force plan affecting 17% of the corporate workforce, which is estimated to result in approximately $11 million in annualized cost savings; the Company continues to be focused on identifying and executing cost optimization initiatives, including further rent reductions, better sourcing contracts that lower property-level direct costs, and further savings in overhead costs,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the Marriott Agreement which allows us to integrate our properties with Marriott’s systems, distribution channels, and branding, and, subject to meeting certain conditions, entitles the Company to receive $15 million of Key Money in two tranches by March 31, 2025 of which we received $7.5 million on November 21, 2024; this agreement provides the opportunity for the Company to increase its financial performance through the potential to increase revenue by integrating with Marriott’s commercial engine, deliver costs savings through synergies and scale and power future growth,</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financing from the Company’s existing noteholders in the amount of $16 million during June and July 2024, as previously announced, and</w:t>
      </w: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secured financing arrangements that provide the Company with access to approximately $139 million in additional liquidity, including</w:t>
      </w:r>
    </w:p>
    <w:p>
      <w:pPr>
        <w:spacing w:after="0" w:line="9" w:lineRule="exact"/>
        <w:rPr>
          <w:rFonts w:ascii="Times New Roman" w:cs="Times New Roman" w:eastAsia="Times New Roman" w:hAnsi="Times New Roman"/>
          <w:sz w:val="18"/>
          <w:szCs w:val="18"/>
          <w:color w:val="auto"/>
        </w:rPr>
      </w:pPr>
    </w:p>
    <w:p>
      <w:pPr>
        <w:ind w:left="1300" w:hanging="320"/>
        <w:spacing w:after="0" w:line="250" w:lineRule="auto"/>
        <w:tabs>
          <w:tab w:leader="none" w:pos="129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issuing approximately $43 million of Series A Preferred Stock to certain qualified institutional buyers or accredited investors, of which $14.7 million was received in August 2024 and an additional $28.6 million was received in November 2024,</w:t>
      </w:r>
    </w:p>
    <w:p>
      <w:pPr>
        <w:jc w:val="both"/>
        <w:ind w:left="1300" w:hanging="320"/>
        <w:spacing w:after="0" w:line="250" w:lineRule="auto"/>
        <w:tabs>
          <w:tab w:leader="none" w:pos="1323"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$83 million in additional liquidity, including $4 million in financing funded in August 2024, and approximately $79 million in the form of a 30-month extension (through the end of 2026) of the paid-in-kind feature of the Note Purchase Agreement (21 months of which is at Sonder’s option), and</w:t>
      </w:r>
    </w:p>
    <w:p>
      <w:pPr>
        <w:spacing w:after="0" w:line="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sources of liquidity totaling $13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Sources and Uses of Cash</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September 30, 2024, we had a cash balance, not including restricted cash, of $27.0 million, which was held for working capital purposes. Cash consists of checking and interest-bearing accounts. Reaching sustainable positive FCF is our primary focus in the near-term, as detailed in our Cash Flow Positive Plan. Once we reach sustainable positive FCF, we expect cash from operations will provide our principal source of liquidity. We generate cash from transactions with customers booking directly through Sonder.com and the Sonder app, which are settled through a payment processor, from transactions with third-party corporate customers which are settled based on contractual terms, and indirectly through OTAs, which are also settled based on contractual terms. The most significant source of liquidity in 2024 was cash inflows from both current period and future guest bookings.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incurred losses since inception, and we expect to continue to incur additional losses in the future. Our operations to date have been financed primarily by private equity investments in our common and convertible preferred stock, convertible notes, and other note and warrant purchase agreements, as described in Note 6,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and Note 15,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in the notes to our unaudited condensed consolidated financial statements included in this Quarterly Report on Form 10-Q.</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believe that our existing cash on hand combined with our anticipated estimated FCF may be insufficient to fund our operations and debt obligations for at least the next 12 months. Our management has concluded there is substantial doubt about the Company’s ability to continue as a going concern, which is not alleviated, for one year from the date of issuance of this Quarterly Report on Form 10-Q. Our future capital requirements will depend on many factors, including, but not limited to, our successful execution of a number of critical milestones required under our recent financing arrangements and licensing agreement, our rate of RevPAR growth, our ability to achieve cost efficiencies, our ability to provide security instruments such as letters of credit in lieu of cash deposits pursuant to leases, and the extent of real estate owners’ funding of capital expenditures and other pre-opening costs at our leased properties. To the extent that our existing cash balance and ongoing cash from operations are insufficient to fund our future activities, we may need to raise additional funds through public or private equity or debt financing, including convertible debt, short-term bridge financing, or otherwise, but such funds may not be available on acceptable terms. If sufficient cash from operations or external funding is not available, we may be unable to adequately fund our business plans and it could have a negative effect on our business, operating cash flows, financial condition, and cash flows.</w:t>
      </w:r>
    </w:p>
    <w:p>
      <w:pPr>
        <w:spacing w:after="0" w:line="2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Most of our cash was held in the United States as of September 30, 2024. Our foreign subsidiaries held approximately $5.3 million of cash in foreign jurisdictions. We currently do not intend or foresee a need to repatriate these foreign funds. As a result of the Tax Cuts and Jobs Act of 2017, however, we anticipate the U.S. federal tax impact to be minimal if these foreign funds are repatriated and would not repatriate funds where there was a material tax cost. In addition, based on our current and future needs, we believe our current funding and capital resources for our international operations are adequate.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Debt Arrangements</w:t>
      </w:r>
    </w:p>
    <w:p>
      <w:pPr>
        <w:spacing w:after="0" w:line="25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Debt arrangements, such as our credit facilities and Delayed Draw Notes, have been a source of cash for our day-to-day operations. Refer to Note 6,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and Note 15,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xml:space="preserve"> in the notes to our unaudited condensed consolidated financial statements included in this Quarterly Report on Form 10-Q for discussion of our debt arrangements, including the timing of expected maturity of such arrangements. These arrangements include our 2022 Loan and Security Agreement which currently has a letter of credit sublimit of $45.0 million. As of September 30, 2024, because we are unable to satisfy the minimum consolidated adjusted EBITDA covenant, we are required to cash collateralize our obligations under the 2022 Loan and Security Agreement.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Future Cash Obligations</w:t>
      </w:r>
    </w:p>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Our estimated future obligations as of September 30, 2024 include both current and long-term obligations. Our debt obligations, including both capitalized to-date and future paid-in-kind interest through the election date of June 2024, totaled $316.0 million, of which, $1.0 million was short-term, and the remainder was long-term. Interest on the foregoing debt obligations is payable in cash after the June 2024 election date. Additionally, we had $47.5 million of irrevocable standby letters of credit outstanding which were collateralized by our restricted cash, all of which represents a long-term cash obligation. Under our operating leases as discussed in Note 8,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in the notes to our condensed consolidated financial statements included in this Quarterly Report on Form 10-Q, we had a current obligation of $170.0 million and a long-term obligation of $1.1 billion as of September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lease obligations primarily represent the initial contracted term for leases that have commenced as of September 30, 2024, not including any future optional renewal periods. In addition, as of September 30, 2024, we have entered into leases that have not yet commenced with future lease payments totaling $760.0 million, excluding purchase options, that are not yet recorded on the condensed consolidated balance sheets and are not reflected in the figure above. These leases will commence between 2024 and 2029 with lease terms of three to 20 years.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part of our efforts to reach positive FCF, we have undertaken a portfolio optimization program, which involves renegotiating the terms of our leases at certain properties and terminating certain leases. This process has resulted and may result in contract modifications resulting in changes to rent amounts, lease durations, or other provisions of our lease agreements and has resulted and may result in the termination of certain leases leading to the transition of certain properties over time and the incurrence of certain expenses including but not limited to termination fees and impairment charges, which could be material.</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Cash Flow Information</w:t>
            </w:r>
          </w:p>
        </w:tc>
        <w:tc>
          <w:tcPr>
            <w:tcW w:w="10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5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sets forth our cash flows (in thousands):</w:t>
            </w: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99"/>
        </w:trPr>
        <w:tc>
          <w:tcPr>
            <w:tcW w:w="5980" w:type="dxa"/>
            <w:vAlign w:val="bottom"/>
          </w:tcPr>
          <w:p>
            <w:pPr>
              <w:spacing w:after="0"/>
              <w:rPr>
                <w:sz w:val="24"/>
                <w:szCs w:val="24"/>
                <w:color w:val="auto"/>
              </w:rPr>
            </w:pPr>
          </w:p>
        </w:tc>
        <w:tc>
          <w:tcPr>
            <w:tcW w:w="3600" w:type="dxa"/>
            <w:vAlign w:val="bottom"/>
            <w:gridSpan w:val="6"/>
          </w:tcPr>
          <w:p>
            <w:pPr>
              <w:ind w:left="520"/>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3"/>
        </w:trPr>
        <w:tc>
          <w:tcPr>
            <w:tcW w:w="5980" w:type="dxa"/>
            <w:vAlign w:val="bottom"/>
            <w:tcBorders>
              <w:bottom w:val="single" w:sz="8" w:color="CCEEFF"/>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6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 Change</w:t>
            </w:r>
          </w:p>
        </w:tc>
      </w:tr>
      <w:tr>
        <w:trPr>
          <w:trHeight w:val="223"/>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6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(90,451)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(17,914)</w:t>
            </w:r>
          </w:p>
        </w:tc>
      </w:tr>
      <w:tr>
        <w:trPr>
          <w:trHeight w:val="229"/>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10,341</w:t>
            </w:r>
          </w:p>
        </w:tc>
      </w:tr>
      <w:tr>
        <w:trPr>
          <w:trHeight w:val="22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32,287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29,529</w:t>
            </w:r>
          </w:p>
        </w:tc>
      </w:tr>
      <w:tr>
        <w:trPr>
          <w:trHeight w:val="230"/>
        </w:trPr>
        <w:tc>
          <w:tcPr>
            <w:tcW w:w="5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Effects of foreign exchange on cash</w:t>
            </w:r>
          </w:p>
        </w:tc>
        <w:tc>
          <w:tcPr>
            <w:tcW w:w="10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w:t>
            </w:r>
          </w:p>
        </w:tc>
      </w:tr>
      <w:tr>
        <w:trPr>
          <w:trHeight w:val="248"/>
        </w:trPr>
        <w:tc>
          <w:tcPr>
            <w:tcW w:w="5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106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(60,598)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21,355</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Operating Activities</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increased for the nine months ended September 30, 2024 as compared to the nine months ended September 30, 2023, primarily due to an increase in cash paid for lease terminations, restructuring, and professional fees partially offset by an improvement in our operating loss performance due to a 5.1% increase in revenue. Cash used in operating activities is subject to variability period-over-period as a result of timing differences, including with respect to the collection of receivables and payments of interest expense, accounts payable, and other items, as well as variability in our stock price as it relates to fair value of the SPAC Warrants and Earn Out Liability.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Investing Activities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decreased for the nine months ended September 30, 2024 as compared to the nine months ended September 30, 2023, primarily as a result of a decrease in purchases of property and equipment of $9.5 million, largely related to a decrease in purchases for furnishings and fixtures for our Live Units.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Financing Activities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Net cash provided by financing activities increased for the nine months ended September 30, 2024 as compared to the nine months ended September 30, 2023, primarily due to debt financing proceeds from the issuance of an aggregate of $20.0 million of Delayed Draw Notes, together with the Warrants, as described in Note 6,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in the notes to our unaudited condensed consolidated financial statements included in this Quarterly Report on Form 10-Q, as well as $14.7 million of proceeds from the preferred stock issuance.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Off-Balance Sheet Arrangements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2024, we had the following off-balance sheet arrangements: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Letters of Credit</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2024, we had $47.5 million of irrevocable standby letters of credit outstanding, which were collateralized by our restricted cash, of which $32.5 million was under our revolving credit facilities. Letters of credit are primarily used as a form of security deposits for the buildings and partial buildings we lease.</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Surety Bonds</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portion of our leases are supported by surety bonds provided by affiliates of certain insurance companies. As of September 30, 2024, we had assembled commitments from six surety providers in the amount of $39.2 million, of which $16.6 million was outstanding and was an off-balance sheet arrangement. The availability, terms and conditions, and pricing of bonding capacity are dependent on, among other things, continued financial strength and stability of the insurance company affiliates providing the bonding capacity, general availability of such capacity, our corporate credit rating, and the general perception of our financial performance.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 Agreements</w:t>
      </w:r>
    </w:p>
    <w:p>
      <w:pPr>
        <w:spacing w:after="0" w:line="252"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See Note 12,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in the notes to our unaudited condensed consolidated financial statements included in this Quarterly Report on Form 10-Q for additional information regarding our indemnification agreements.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 of Exchange Rates</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changes in cash can be impacted by the effect of fluctuating exchange rates. Foreign exchange had a negative effect on cash for the nine months ended September 30, 2024 of $0.3 million. Foreign exchange had a positive effect on cash for nine months ended September 30, 2023 of $0.3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from the information provided in Part II, Item 7, Critical Accounting Estimates, in the Annual Report, other than the following:</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identified a critical accounting estimate associated with the fair market value of the Securities Purchase Agreements. As part of the Securities Purchase Agreements, the Company identified three freestanding financial instruments issued in connection with the transaction: a) Mezzanine equity-classified Series A Convertible Preferred Stock, b) Liability-classified forward contract for commitments of investors to purchase, and commitments of the Company to sell, additional Series A Convertible Preferred Stock and c) Liability-classified preferred stock participation rights. The Company recognized a loss on the preferred stock transaction based on the fair market value of a) the equity-classified preferred stock, b) the liability-classified forward contract and c) the liability-classified participation rights as of the transaction date. The liability-classified forward contract and participation rights are remeasured each reporting period reflecting fluctuations in the underlying variables and assumptions.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Standards</w:t>
      </w:r>
    </w:p>
    <w:p>
      <w:pPr>
        <w:spacing w:after="0" w:line="25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See Note 2, </w:t>
      </w:r>
      <w:r>
        <w:rPr>
          <w:rFonts w:ascii="Times New Roman" w:cs="Times New Roman" w:eastAsia="Times New Roman" w:hAnsi="Times New Roman"/>
          <w:sz w:val="18"/>
          <w:szCs w:val="18"/>
          <w:i w:val="1"/>
          <w:iCs w:val="1"/>
          <w:color w:val="auto"/>
        </w:rPr>
        <w:t>Recently Issued Accounting Standards</w:t>
      </w:r>
      <w:r>
        <w:rPr>
          <w:rFonts w:ascii="Times New Roman" w:cs="Times New Roman" w:eastAsia="Times New Roman" w:hAnsi="Times New Roman"/>
          <w:sz w:val="18"/>
          <w:szCs w:val="18"/>
          <w:color w:val="auto"/>
        </w:rPr>
        <w:t>, in the notes to our unaudited condensed consolidated financial statements included in this Quarterly Report on Form 10-Q for a description of recently adopted accounting standards and recently issued accounting standards not yet adopted.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Section 102(b)(1) of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and have elected to take advantage of the benefits of the extended transition period for new or revised financial accounting standards. We will remain an emerging growth company until the earliest of: (i) the last day of the fiscal year in which the market value of common stock that is held by non-affiliates exceeds $700.0 million as of the end of that year’s second fiscal quarter; (ii) the last day of the fiscal year in which we have total annual gross revenue of $1.235 billion or more during such fiscal year (as indexed for inflation); (iii) the date on which we have issued more than $1 billion in non-convertible debt in the prior three-year period; or (iv) December 31, 2026, and we expect to continue to take advantage of the benefits of the extended transition period, although we may decide to early adopt such new or revised accounting standards to the extent permitted by such standards.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market risk from the information provided in Part II, Item 7, Quantitative and Qualitative Disclosures About Market Risk, in the Annual Report.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principal executive officer and our principal financial officer, we conducted an evaluation of the effectiveness of our disclosure controls and procedures, as defined in Rules 13a-15(e) and 15d-15(e) under the Exchange Act, as of the end of the period covered by this Quarterly Report on Form 10-Q. Based on this evaluation, our principal executive officer and principal financial officer have concluded that our disclosure controls and procedures were not effective due to the existence of the material weaknesses described below to provide assurance at a reasonable level that the information we are required to disclose in reports that we file or submit under the Exchange Act is recorded, processed, summarized, and reported within the time periods specified in the SEC rules and forms and that such information is accumulated and communicated to management to allow timely decisions regarding required disclosures.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Material Weaknesses in Internal Control Over Financial Reporting</w:t>
      </w:r>
    </w:p>
    <w:p>
      <w:pPr>
        <w:spacing w:after="0" w:line="2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disclosed in Part II, Item 9A of the Annual Report, management concluded that the following material weaknesses in internal control existed for the Company. Management concluded that these material weaknesses still exist as of September 30, 2024.</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Leases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previously identified a material weakness in our internal control over financial reporting related to the control deficiencies in the process to capture and record lease agreements timely and accurately. Management has concluded that this material weakness in internal control over financial reporting is due to the fact that the Company did not have the adequate resources with the appropriate level of experience and technical expertise to oversee the Company’s leasing business processes and related internal controls.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Control Activities and Control Environment</w:t>
      </w:r>
    </w:p>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Given the aggregation of the lease material weakness noted above and other control deficiencies, we have identified related material weaknesses based on criteria established in Internal Control — Integrated Framework (2013) issued by the Committee of Sponsoring Organizations of the Treadway Commission (“COSO”), including: (i) deficiencies in the principles associated with the control activities component of the COSO framework relating to establishment of formal policies and procedures and consistent application thereof, and (ii) deficiencies in the principles associated with the control environment component of the COSO framework relating to hiring and training sufficient personnel to timely support the Company’s internal control objectives to ascertain whether the components of internal control are present and functioning.</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Asset Impairment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Management identified a material weakness regarding the lack of design and effective controls to identify and consider relevant impairment indicators, determination of asset valuation, and possible impairment of assets, including right-of-use assets.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Remediation Plan</w:t>
      </w:r>
    </w:p>
    <w:p>
      <w:pPr>
        <w:spacing w:after="0" w:line="2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remediate these material weaknesses, we identified improvements, including specific remediation plans for leases, control activities and control environment, and asset impairments, as described in Item 9A. Controls and Procedures of the Annual Report, which we are continuing to implement.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November 2024, Dominique Bourgault resigned from his position as our Chief Financial Officer and Adam Bowen resigned from his position as our Chief Accounting Officer. As a result of these resignations, we modified certain existing internal controls and procedures. Other than in connection with changes in personnel and executing upon the implementation of the remediation measures covered by this Quarterly Report on Form 10-Q and the associated changes to our internal control over financial reporting, there has been no change in our internal control over financial reporting that has materially affected, or is reasonably likely to materially affect, our internal control over financial reporting.</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information regarding legal proceedings in Note 12 “Commitments and Contingencies” to our condensed consolidated financial statements included in Part I Item 1. “Financial Statements.” of this Quarterly Report on Form 10-Q is hereby incorporated by reference into this Part II Item 1. “Legal Proceedings.”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the risk factors from those we previously provided in the Annual Report.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Use of Proceeds, and Issuer Purchases of Equity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quarter ended September 30, 2024, none of the Company’s directors or Section 16 officers adopted or terminated any “Rule 10b5-1 trading arrangement” or any “non-Rule 10b5-1 trading arrangement,” as each term is defined in Item 408(a) of Regulation S-K.</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as part of this report or hereby incorporated by references to filings previously made with the SEC.</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00" w:type="dxa"/>
            <w:vAlign w:val="bottom"/>
            <w:gridSpan w:val="6"/>
          </w:tcPr>
          <w:p>
            <w:pPr>
              <w:ind w:left="600"/>
              <w:spacing w:after="0"/>
              <w:rPr>
                <w:sz w:val="20"/>
                <w:szCs w:val="20"/>
                <w:color w:val="auto"/>
              </w:rPr>
            </w:pPr>
            <w:r>
              <w:rPr>
                <w:rFonts w:ascii="Times New Roman" w:cs="Times New Roman" w:eastAsia="Times New Roman" w:hAnsi="Times New Roman"/>
                <w:sz w:val="18"/>
                <w:szCs w:val="18"/>
                <w:color w:val="auto"/>
              </w:rPr>
              <w:t>Incorporated by Reference</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Filed or</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Furnished</w:t>
            </w:r>
          </w:p>
        </w:tc>
        <w:tc>
          <w:tcPr>
            <w:tcW w:w="0" w:type="dxa"/>
            <w:vAlign w:val="bottom"/>
          </w:tcPr>
          <w:p>
            <w:pPr>
              <w:spacing w:after="0"/>
              <w:rPr>
                <w:sz w:val="1"/>
                <w:szCs w:val="1"/>
                <w:color w:val="auto"/>
              </w:rPr>
            </w:pPr>
          </w:p>
        </w:tc>
      </w:tr>
      <w:tr>
        <w:trPr>
          <w:trHeight w:val="234"/>
        </w:trPr>
        <w:tc>
          <w:tcPr>
            <w:tcW w:w="1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Exhibit No.</w:t>
            </w: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Exhibit Description</w:t>
            </w: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Form</w:t>
            </w:r>
          </w:p>
        </w:tc>
        <w:tc>
          <w:tcPr>
            <w:tcW w:w="100" w:type="dxa"/>
            <w:vAlign w:val="bottom"/>
          </w:tcPr>
          <w:p>
            <w:pPr>
              <w:spacing w:after="0"/>
              <w:rPr>
                <w:sz w:val="20"/>
                <w:szCs w:val="20"/>
                <w:color w:val="auto"/>
              </w:rPr>
            </w:pPr>
          </w:p>
        </w:tc>
        <w:tc>
          <w:tcPr>
            <w:tcW w:w="12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File No.</w:t>
            </w:r>
          </w:p>
        </w:tc>
        <w:tc>
          <w:tcPr>
            <w:tcW w:w="100" w:type="dxa"/>
            <w:vAlign w:val="bottom"/>
          </w:tcPr>
          <w:p>
            <w:pPr>
              <w:spacing w:after="0"/>
              <w:rPr>
                <w:sz w:val="20"/>
                <w:szCs w:val="20"/>
                <w:color w:val="auto"/>
              </w:rPr>
            </w:pPr>
          </w:p>
        </w:tc>
        <w:tc>
          <w:tcPr>
            <w:tcW w:w="7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Exhibit</w:t>
            </w:r>
          </w:p>
        </w:tc>
        <w:tc>
          <w:tcPr>
            <w:tcW w:w="100" w:type="dxa"/>
            <w:vAlign w:val="bottom"/>
          </w:tcPr>
          <w:p>
            <w:pPr>
              <w:spacing w:after="0"/>
              <w:rPr>
                <w:sz w:val="20"/>
                <w:szCs w:val="20"/>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Filing Date</w:t>
            </w:r>
          </w:p>
        </w:tc>
        <w:tc>
          <w:tcPr>
            <w:tcW w:w="100" w:type="dxa"/>
            <w:vAlign w:val="bottom"/>
          </w:tcPr>
          <w:p>
            <w:pPr>
              <w:spacing w:after="0"/>
              <w:rPr>
                <w:sz w:val="20"/>
                <w:szCs w:val="20"/>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Herewith</w:t>
            </w:r>
          </w:p>
        </w:tc>
        <w:tc>
          <w:tcPr>
            <w:tcW w:w="0" w:type="dxa"/>
            <w:vAlign w:val="bottom"/>
          </w:tcPr>
          <w:p>
            <w:pPr>
              <w:spacing w:after="0"/>
              <w:rPr>
                <w:sz w:val="1"/>
                <w:szCs w:val="1"/>
                <w:color w:val="auto"/>
              </w:rPr>
            </w:pPr>
          </w:p>
        </w:tc>
      </w:tr>
      <w:tr>
        <w:trPr>
          <w:trHeight w:val="22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60" w:type="dxa"/>
            <w:vAlign w:val="bottom"/>
            <w:gridSpan w:val="27"/>
          </w:tcPr>
          <w:p>
            <w:pPr>
              <w:spacing w:after="0"/>
              <w:rPr>
                <w:rFonts w:ascii="Times New Roman" w:cs="Times New Roman" w:eastAsia="Times New Roman" w:hAnsi="Times New Roman"/>
                <w:sz w:val="18"/>
                <w:szCs w:val="18"/>
                <w:color w:val="0000FF"/>
              </w:rPr>
            </w:pPr>
            <w:hyperlink r:id="rId72">
              <w:r>
                <w:rPr>
                  <w:rFonts w:ascii="Times New Roman" w:cs="Times New Roman" w:eastAsia="Times New Roman" w:hAnsi="Times New Roman"/>
                  <w:sz w:val="18"/>
                  <w:szCs w:val="18"/>
                  <w:color w:val="0000FF"/>
                </w:rPr>
                <w:t>Amended and Restated Certificate of Incorporation</w:t>
              </w:r>
            </w:hyperlink>
          </w:p>
        </w:tc>
        <w:tc>
          <w:tcPr>
            <w:tcW w:w="7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8"/>
                <w:szCs w:val="18"/>
                <w:color w:val="auto"/>
                <w:w w:val="99"/>
              </w:rPr>
              <w:t>8-K</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001-39907</w:t>
            </w:r>
          </w:p>
        </w:tc>
        <w:tc>
          <w:tcPr>
            <w:tcW w:w="100" w:type="dxa"/>
            <w:vAlign w:val="bottom"/>
          </w:tcPr>
          <w:p>
            <w:pPr>
              <w:spacing w:after="0"/>
              <w:rPr>
                <w:sz w:val="19"/>
                <w:szCs w:val="19"/>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19"/>
                <w:szCs w:val="19"/>
                <w:color w:val="auto"/>
              </w:rPr>
            </w:pPr>
          </w:p>
        </w:tc>
        <w:tc>
          <w:tcPr>
            <w:tcW w:w="19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rPr>
              <w:t>January 24, 2022</w:t>
            </w: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20" w:type="dxa"/>
            <w:vAlign w:val="bottom"/>
            <w:tcBorders>
              <w:top w:val="single" w:sz="8" w:color="0000FF"/>
              <w:bottom w:val="single" w:sz="8" w:color="0000FF"/>
            </w:tcBorders>
            <w:gridSpan w:val="5"/>
          </w:tcPr>
          <w:p>
            <w:pPr>
              <w:spacing w:after="0" w:line="142" w:lineRule="exact"/>
              <w:rPr>
                <w:rFonts w:ascii="Times New Roman" w:cs="Times New Roman" w:eastAsia="Times New Roman" w:hAnsi="Times New Roman"/>
                <w:sz w:val="16"/>
                <w:szCs w:val="16"/>
                <w:color w:val="0000FF"/>
              </w:rPr>
            </w:pPr>
            <w:hyperlink r:id="rId72">
              <w:r>
                <w:rPr>
                  <w:rFonts w:ascii="Times New Roman" w:cs="Times New Roman" w:eastAsia="Times New Roman" w:hAnsi="Times New Roman"/>
                  <w:sz w:val="16"/>
                  <w:szCs w:val="16"/>
                  <w:color w:val="0000FF"/>
                </w:rPr>
                <w:t>of Sonder Holdings Inc.</w:t>
              </w:r>
            </w:hyperlink>
          </w:p>
        </w:tc>
        <w:tc>
          <w:tcPr>
            <w:tcW w:w="1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900" w:type="dxa"/>
            <w:vAlign w:val="bottom"/>
            <w:gridSpan w:val="2"/>
            <w:vMerge w:val="continue"/>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60" w:type="dxa"/>
            <w:vAlign w:val="bottom"/>
            <w:gridSpan w:val="27"/>
            <w:vMerge w:val="restart"/>
          </w:tcPr>
          <w:p>
            <w:pPr>
              <w:spacing w:after="0"/>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Certificate of Amendment of Amended and Restated</w:t>
              </w:r>
            </w:hyperlink>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001-39907</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60" w:type="dxa"/>
            <w:vAlign w:val="bottom"/>
            <w:gridSpan w:val="27"/>
            <w:vMerge w:val="continue"/>
          </w:tcPr>
          <w:p>
            <w:pPr>
              <w:spacing w:after="0"/>
              <w:rPr>
                <w:sz w:val="16"/>
                <w:szCs w:val="16"/>
                <w:color w:val="auto"/>
              </w:rPr>
            </w:pPr>
          </w:p>
        </w:tc>
        <w:tc>
          <w:tcPr>
            <w:tcW w:w="7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8"/>
                <w:szCs w:val="18"/>
                <w:color w:val="auto"/>
                <w:w w:val="99"/>
              </w:rPr>
              <w:t>8-K</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001-39907</w:t>
            </w:r>
          </w:p>
        </w:tc>
        <w:tc>
          <w:tcPr>
            <w:tcW w:w="100" w:type="dxa"/>
            <w:vAlign w:val="bottom"/>
          </w:tcPr>
          <w:p>
            <w:pPr>
              <w:spacing w:after="0"/>
              <w:rPr>
                <w:sz w:val="16"/>
                <w:szCs w:val="16"/>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16"/>
                <w:szCs w:val="16"/>
                <w:color w:val="auto"/>
              </w:rPr>
            </w:pPr>
          </w:p>
        </w:tc>
        <w:tc>
          <w:tcPr>
            <w:tcW w:w="19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September 19, 2023</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0" w:type="dxa"/>
            <w:vAlign w:val="bottom"/>
            <w:tcBorders>
              <w:top w:val="single" w:sz="8" w:color="0000FF"/>
              <w:bottom w:val="single" w:sz="8" w:color="0000FF"/>
            </w:tcBorders>
            <w:gridSpan w:val="16"/>
          </w:tcPr>
          <w:p>
            <w:pPr>
              <w:spacing w:after="0" w:line="142" w:lineRule="exact"/>
              <w:rPr>
                <w:rFonts w:ascii="Times New Roman" w:cs="Times New Roman" w:eastAsia="Times New Roman" w:hAnsi="Times New Roman"/>
                <w:sz w:val="16"/>
                <w:szCs w:val="16"/>
                <w:color w:val="0000FF"/>
              </w:rPr>
            </w:pPr>
            <w:hyperlink r:id="rId73">
              <w:r>
                <w:rPr>
                  <w:rFonts w:ascii="Times New Roman" w:cs="Times New Roman" w:eastAsia="Times New Roman" w:hAnsi="Times New Roman"/>
                  <w:sz w:val="16"/>
                  <w:szCs w:val="16"/>
                  <w:color w:val="0000FF"/>
                </w:rPr>
                <w:t>Certificate of Incorporation of Sonder Holdings, Inc.</w:t>
              </w:r>
            </w:hyperlink>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900" w:type="dxa"/>
            <w:vAlign w:val="bottom"/>
            <w:gridSpan w:val="2"/>
            <w:vMerge w:val="continue"/>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60" w:type="dxa"/>
            <w:vAlign w:val="bottom"/>
            <w:gridSpan w:val="27"/>
            <w:vMerge w:val="restart"/>
          </w:tcPr>
          <w:p>
            <w:pPr>
              <w:spacing w:after="0"/>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color w:val="0000FF"/>
                </w:rPr>
                <w:t>Certificate of Amendment of Amended and Restated</w:t>
              </w:r>
            </w:hyperlink>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001-39907</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60" w:type="dxa"/>
            <w:vAlign w:val="bottom"/>
            <w:gridSpan w:val="27"/>
            <w:vMerge w:val="continue"/>
          </w:tcPr>
          <w:p>
            <w:pPr>
              <w:spacing w:after="0"/>
              <w:rPr>
                <w:sz w:val="16"/>
                <w:szCs w:val="16"/>
                <w:color w:val="auto"/>
              </w:rPr>
            </w:pPr>
          </w:p>
        </w:tc>
        <w:tc>
          <w:tcPr>
            <w:tcW w:w="7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8"/>
                <w:szCs w:val="18"/>
                <w:color w:val="auto"/>
                <w:w w:val="99"/>
              </w:rPr>
              <w:t>8-K</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001-39907</w:t>
            </w:r>
          </w:p>
        </w:tc>
        <w:tc>
          <w:tcPr>
            <w:tcW w:w="100" w:type="dxa"/>
            <w:vAlign w:val="bottom"/>
          </w:tcPr>
          <w:p>
            <w:pPr>
              <w:spacing w:after="0"/>
              <w:rPr>
                <w:sz w:val="16"/>
                <w:szCs w:val="16"/>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16"/>
                <w:szCs w:val="16"/>
                <w:color w:val="auto"/>
              </w:rPr>
            </w:pPr>
          </w:p>
        </w:tc>
        <w:tc>
          <w:tcPr>
            <w:tcW w:w="19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October 1, 2024</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0" w:type="dxa"/>
            <w:vAlign w:val="bottom"/>
            <w:tcBorders>
              <w:top w:val="single" w:sz="8" w:color="0000FF"/>
              <w:bottom w:val="single" w:sz="8" w:color="0000FF"/>
            </w:tcBorders>
            <w:gridSpan w:val="16"/>
          </w:tcPr>
          <w:p>
            <w:pPr>
              <w:spacing w:after="0" w:line="142" w:lineRule="exact"/>
              <w:rPr>
                <w:rFonts w:ascii="Times New Roman" w:cs="Times New Roman" w:eastAsia="Times New Roman" w:hAnsi="Times New Roman"/>
                <w:sz w:val="16"/>
                <w:szCs w:val="16"/>
                <w:color w:val="0000FF"/>
              </w:rPr>
            </w:pPr>
            <w:hyperlink r:id="rId74">
              <w:r>
                <w:rPr>
                  <w:rFonts w:ascii="Times New Roman" w:cs="Times New Roman" w:eastAsia="Times New Roman" w:hAnsi="Times New Roman"/>
                  <w:sz w:val="16"/>
                  <w:szCs w:val="16"/>
                  <w:color w:val="0000FF"/>
                </w:rPr>
                <w:t>Certificate of Incorporation of Sonder Holdings, Inc.</w:t>
              </w:r>
            </w:hyperlink>
          </w:p>
        </w:tc>
        <w:tc>
          <w:tcPr>
            <w:tcW w:w="22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900" w:type="dxa"/>
            <w:vAlign w:val="bottom"/>
            <w:gridSpan w:val="2"/>
            <w:vMerge w:val="continue"/>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60" w:type="dxa"/>
            <w:vAlign w:val="bottom"/>
            <w:gridSpan w:val="27"/>
            <w:vMerge w:val="restart"/>
          </w:tcPr>
          <w:p>
            <w:pPr>
              <w:spacing w:after="0"/>
              <w:rPr>
                <w:rFonts w:ascii="Times New Roman" w:cs="Times New Roman" w:eastAsia="Times New Roman" w:hAnsi="Times New Roman"/>
                <w:sz w:val="18"/>
                <w:szCs w:val="18"/>
                <w:color w:val="0000FF"/>
              </w:rPr>
            </w:pPr>
            <w:hyperlink r:id="rId75">
              <w:r>
                <w:rPr>
                  <w:rFonts w:ascii="Times New Roman" w:cs="Times New Roman" w:eastAsia="Times New Roman" w:hAnsi="Times New Roman"/>
                  <w:sz w:val="18"/>
                  <w:szCs w:val="18"/>
                  <w:color w:val="0000FF"/>
                </w:rPr>
                <w:t>Certificate of Amendment of Amended and Restated</w:t>
              </w:r>
            </w:hyperlink>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001-39907</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60" w:type="dxa"/>
            <w:vAlign w:val="bottom"/>
            <w:gridSpan w:val="27"/>
            <w:vMerge w:val="continue"/>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2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75">
              <w:r>
                <w:rPr>
                  <w:rFonts w:ascii="Times New Roman" w:cs="Times New Roman" w:eastAsia="Times New Roman" w:hAnsi="Times New Roman"/>
                  <w:sz w:val="18"/>
                  <w:szCs w:val="18"/>
                  <w:color w:val="0000FF"/>
                </w:rPr>
                <w:t>Certificate of Incorporation of Sonder Holdings Inc.</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00" w:type="dxa"/>
            <w:vAlign w:val="bottom"/>
            <w:tcBorders>
              <w:top w:val="single" w:sz="8" w:color="0000FF"/>
            </w:tcBorders>
            <w:gridSpan w:val="19"/>
          </w:tcPr>
          <w:p>
            <w:pPr>
              <w:spacing w:after="0" w:line="169" w:lineRule="exact"/>
              <w:rPr>
                <w:rFonts w:ascii="Times New Roman" w:cs="Times New Roman" w:eastAsia="Times New Roman" w:hAnsi="Times New Roman"/>
                <w:sz w:val="18"/>
                <w:szCs w:val="18"/>
                <w:color w:val="0000FF"/>
              </w:rPr>
            </w:pPr>
            <w:hyperlink r:id="rId75">
              <w:r>
                <w:rPr>
                  <w:rFonts w:ascii="Times New Roman" w:cs="Times New Roman" w:eastAsia="Times New Roman" w:hAnsi="Times New Roman"/>
                  <w:sz w:val="18"/>
                  <w:szCs w:val="18"/>
                  <w:color w:val="0000FF"/>
                </w:rPr>
                <w:t>filed with the Secretary of State of the State of</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8"/>
                <w:szCs w:val="18"/>
                <w:color w:val="auto"/>
                <w:w w:val="99"/>
              </w:rPr>
              <w:t>8-K</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001-39907</w:t>
            </w:r>
          </w:p>
        </w:tc>
        <w:tc>
          <w:tcPr>
            <w:tcW w:w="100" w:type="dxa"/>
            <w:vAlign w:val="bottom"/>
          </w:tcPr>
          <w:p>
            <w:pPr>
              <w:spacing w:after="0"/>
              <w:rPr>
                <w:sz w:val="14"/>
                <w:szCs w:val="14"/>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14"/>
                <w:szCs w:val="14"/>
                <w:color w:val="auto"/>
              </w:rPr>
            </w:pPr>
          </w:p>
        </w:tc>
        <w:tc>
          <w:tcPr>
            <w:tcW w:w="19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8"/>
              </w:rPr>
              <w:t>December 30, 2024</w:t>
            </w: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8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75">
              <w:r>
                <w:rPr>
                  <w:rFonts w:ascii="Times New Roman" w:cs="Times New Roman" w:eastAsia="Times New Roman" w:hAnsi="Times New Roman"/>
                  <w:sz w:val="18"/>
                  <w:szCs w:val="18"/>
                  <w:color w:val="0000FF"/>
                  <w:w w:val="99"/>
                </w:rPr>
                <w:t>Delaware on December 23, 2024</w:t>
              </w:r>
            </w:hyperlink>
          </w:p>
        </w:tc>
        <w:tc>
          <w:tcPr>
            <w:tcW w:w="500" w:type="dxa"/>
            <w:vAlign w:val="bottom"/>
            <w:tcBorders>
              <w:top w:val="single" w:sz="8" w:color="0000FF"/>
            </w:tcBorders>
            <w:gridSpan w:val="4"/>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900" w:type="dxa"/>
            <w:vAlign w:val="bottom"/>
            <w:gridSpan w:val="2"/>
            <w:vMerge w:val="continue"/>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60" w:type="dxa"/>
            <w:vAlign w:val="bottom"/>
            <w:gridSpan w:val="27"/>
          </w:tcPr>
          <w:p>
            <w:pPr>
              <w:spacing w:after="0"/>
              <w:rPr>
                <w:rFonts w:ascii="Times New Roman" w:cs="Times New Roman" w:eastAsia="Times New Roman" w:hAnsi="Times New Roman"/>
                <w:sz w:val="18"/>
                <w:szCs w:val="18"/>
                <w:color w:val="0000FF"/>
              </w:rPr>
            </w:pPr>
            <w:hyperlink r:id="rId76">
              <w:r>
                <w:rPr>
                  <w:rFonts w:ascii="Times New Roman" w:cs="Times New Roman" w:eastAsia="Times New Roman" w:hAnsi="Times New Roman"/>
                  <w:sz w:val="18"/>
                  <w:szCs w:val="18"/>
                  <w:color w:val="0000FF"/>
                </w:rPr>
                <w:t>Certificate of Designation of Powers, Preferences</w:t>
              </w:r>
            </w:hyperlink>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76">
              <w:r>
                <w:rPr>
                  <w:rFonts w:ascii="Times New Roman" w:cs="Times New Roman" w:eastAsia="Times New Roman" w:hAnsi="Times New Roman"/>
                  <w:sz w:val="18"/>
                  <w:szCs w:val="18"/>
                  <w:color w:val="0000FF"/>
                </w:rPr>
                <w:t>and Rights of Series A Convertible Preferred Stock</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8"/>
                <w:szCs w:val="18"/>
                <w:color w:val="auto"/>
                <w:w w:val="99"/>
              </w:rPr>
              <w:t>8-K</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001-39907</w:t>
            </w:r>
          </w:p>
        </w:tc>
        <w:tc>
          <w:tcPr>
            <w:tcW w:w="100" w:type="dxa"/>
            <w:vAlign w:val="bottom"/>
          </w:tcPr>
          <w:p>
            <w:pPr>
              <w:spacing w:after="0"/>
              <w:rPr>
                <w:sz w:val="13"/>
                <w:szCs w:val="13"/>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13"/>
                <w:szCs w:val="13"/>
                <w:color w:val="auto"/>
              </w:rPr>
            </w:pPr>
          </w:p>
        </w:tc>
        <w:tc>
          <w:tcPr>
            <w:tcW w:w="19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rPr>
              <w:t>August 19, 2024</w:t>
            </w: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80" w:type="dxa"/>
            <w:vAlign w:val="bottom"/>
            <w:tcBorders>
              <w:top w:val="single" w:sz="8" w:color="0000FF"/>
            </w:tcBorders>
            <w:gridSpan w:val="12"/>
          </w:tcPr>
          <w:p>
            <w:pPr>
              <w:spacing w:after="0" w:line="169" w:lineRule="exact"/>
              <w:rPr>
                <w:rFonts w:ascii="Times New Roman" w:cs="Times New Roman" w:eastAsia="Times New Roman" w:hAnsi="Times New Roman"/>
                <w:sz w:val="18"/>
                <w:szCs w:val="18"/>
                <w:color w:val="0000FF"/>
              </w:rPr>
            </w:pPr>
            <w:hyperlink r:id="rId76">
              <w:r>
                <w:rPr>
                  <w:rFonts w:ascii="Times New Roman" w:cs="Times New Roman" w:eastAsia="Times New Roman" w:hAnsi="Times New Roman"/>
                  <w:sz w:val="18"/>
                  <w:szCs w:val="18"/>
                  <w:color w:val="0000FF"/>
                </w:rPr>
                <w:t>of Sonder Holdings Inc.</w:t>
              </w:r>
            </w:hyperlink>
          </w:p>
        </w:tc>
        <w:tc>
          <w:tcPr>
            <w:tcW w:w="30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60" w:type="dxa"/>
            <w:vAlign w:val="bottom"/>
            <w:gridSpan w:val="27"/>
          </w:tcPr>
          <w:p>
            <w:pPr>
              <w:spacing w:after="0"/>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Amended and Restated Bylaws of Sonder Holdings</w:t>
              </w:r>
            </w:hyperlink>
          </w:p>
        </w:tc>
        <w:tc>
          <w:tcPr>
            <w:tcW w:w="7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8"/>
                <w:szCs w:val="18"/>
                <w:color w:val="auto"/>
                <w:w w:val="99"/>
              </w:rPr>
              <w:t>8-K</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001-39907</w:t>
            </w:r>
          </w:p>
        </w:tc>
        <w:tc>
          <w:tcPr>
            <w:tcW w:w="100" w:type="dxa"/>
            <w:vAlign w:val="bottom"/>
          </w:tcPr>
          <w:p>
            <w:pPr>
              <w:spacing w:after="0"/>
              <w:rPr>
                <w:sz w:val="22"/>
                <w:szCs w:val="22"/>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22"/>
                <w:szCs w:val="22"/>
                <w:color w:val="auto"/>
              </w:rPr>
            </w:pPr>
          </w:p>
        </w:tc>
        <w:tc>
          <w:tcPr>
            <w:tcW w:w="19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December 1, 2022</w:t>
            </w: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Borders>
              <w:top w:val="single" w:sz="8" w:color="0000FF"/>
              <w:bottom w:val="single" w:sz="8" w:color="0000FF"/>
            </w:tcBorders>
          </w:tcPr>
          <w:p>
            <w:pPr>
              <w:spacing w:after="0" w:line="142" w:lineRule="exact"/>
              <w:rPr>
                <w:rFonts w:ascii="Times New Roman" w:cs="Times New Roman" w:eastAsia="Times New Roman" w:hAnsi="Times New Roman"/>
                <w:sz w:val="16"/>
                <w:szCs w:val="16"/>
                <w:color w:val="0000FF"/>
              </w:rPr>
            </w:pPr>
            <w:hyperlink r:id="rId77">
              <w:r>
                <w:rPr>
                  <w:rFonts w:ascii="Times New Roman" w:cs="Times New Roman" w:eastAsia="Times New Roman" w:hAnsi="Times New Roman"/>
                  <w:sz w:val="16"/>
                  <w:szCs w:val="16"/>
                  <w:color w:val="0000FF"/>
                </w:rPr>
                <w:t>Inc.</w:t>
              </w:r>
            </w:hyperlink>
          </w:p>
        </w:tc>
        <w:tc>
          <w:tcPr>
            <w:tcW w:w="540" w:type="dxa"/>
            <w:vAlign w:val="bottom"/>
            <w:tcBorders>
              <w:top w:val="single" w:sz="8" w:color="0000FF"/>
            </w:tcBorders>
            <w:gridSpan w:val="2"/>
          </w:tcPr>
          <w:p>
            <w:pPr>
              <w:spacing w:after="0"/>
              <w:rPr>
                <w:sz w:val="13"/>
                <w:szCs w:val="13"/>
                <w:color w:val="auto"/>
              </w:rPr>
            </w:pPr>
          </w:p>
        </w:tc>
        <w:tc>
          <w:tcPr>
            <w:tcW w:w="6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900" w:type="dxa"/>
            <w:vAlign w:val="bottom"/>
            <w:gridSpan w:val="2"/>
            <w:vMerge w:val="continue"/>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8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9"/>
              </w:rPr>
            </w:pPr>
            <w:hyperlink r:id="rId72">
              <w:r>
                <w:rPr>
                  <w:rFonts w:ascii="Times New Roman" w:cs="Times New Roman" w:eastAsia="Times New Roman" w:hAnsi="Times New Roman"/>
                  <w:sz w:val="18"/>
                  <w:szCs w:val="18"/>
                  <w:color w:val="0000FF"/>
                  <w:w w:val="99"/>
                </w:rPr>
                <w:t>Specimen Stock Certificate of the Company</w:t>
              </w:r>
            </w:hyperlink>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8-K</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001-39907</w:t>
            </w:r>
          </w:p>
        </w:tc>
        <w:tc>
          <w:tcPr>
            <w:tcW w:w="10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24"/>
                <w:szCs w:val="24"/>
                <w:color w:val="auto"/>
              </w:rPr>
            </w:pP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January 24, 2022</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34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8"/>
              </w:rPr>
            </w:pPr>
            <w:hyperlink r:id="rId78">
              <w:r>
                <w:rPr>
                  <w:rFonts w:ascii="Times New Roman" w:cs="Times New Roman" w:eastAsia="Times New Roman" w:hAnsi="Times New Roman"/>
                  <w:sz w:val="18"/>
                  <w:szCs w:val="18"/>
                  <w:color w:val="0000FF"/>
                  <w:w w:val="98"/>
                </w:rPr>
                <w:t>Specimen Warrant Certificate of the Company</w:t>
              </w:r>
            </w:hyperlink>
          </w:p>
        </w:tc>
        <w:tc>
          <w:tcPr>
            <w:tcW w:w="4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5"/>
              </w:rPr>
              <w:t>S-1</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333-251663</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100" w:type="dxa"/>
            <w:vAlign w:val="bottom"/>
          </w:tcPr>
          <w:p>
            <w:pPr>
              <w:spacing w:after="0"/>
              <w:rPr>
                <w:sz w:val="22"/>
                <w:szCs w:val="22"/>
                <w:color w:val="auto"/>
              </w:rPr>
            </w:pP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December 23, 2020</w:t>
            </w: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60" w:type="dxa"/>
            <w:vAlign w:val="bottom"/>
            <w:gridSpan w:val="27"/>
          </w:tcPr>
          <w:p>
            <w:pPr>
              <w:spacing w:after="0"/>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Warrant Agreement, dated as of January 22, 2021, by</w:t>
              </w:r>
            </w:hyperlink>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2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and   among   Gores   Metropoulos   II,   Inc.,</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20" w:type="dxa"/>
            <w:vAlign w:val="bottom"/>
            <w:tcBorders>
              <w:top w:val="single" w:sz="8" w:color="0000FF"/>
            </w:tcBorders>
            <w:gridSpan w:val="20"/>
          </w:tcPr>
          <w:p>
            <w:pPr>
              <w:spacing w:after="0" w:line="169" w:lineRule="exact"/>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Computershare  Inc.,  and  Computershare  Trust</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8"/>
                <w:szCs w:val="18"/>
                <w:color w:val="auto"/>
                <w:w w:val="99"/>
              </w:rPr>
              <w:t>8-K</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001-39907</w:t>
            </w:r>
          </w:p>
        </w:tc>
        <w:tc>
          <w:tcPr>
            <w:tcW w:w="100" w:type="dxa"/>
            <w:vAlign w:val="bottom"/>
          </w:tcPr>
          <w:p>
            <w:pPr>
              <w:spacing w:after="0"/>
              <w:rPr>
                <w:sz w:val="14"/>
                <w:szCs w:val="14"/>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14"/>
                <w:szCs w:val="14"/>
                <w:color w:val="auto"/>
              </w:rPr>
            </w:pPr>
          </w:p>
        </w:tc>
        <w:tc>
          <w:tcPr>
            <w:tcW w:w="19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rPr>
              <w:t>January 25, 2021</w:t>
            </w: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8"/>
              </w:rPr>
            </w:pPr>
            <w:hyperlink r:id="rId79">
              <w:r>
                <w:rPr>
                  <w:rFonts w:ascii="Times New Roman" w:cs="Times New Roman" w:eastAsia="Times New Roman" w:hAnsi="Times New Roman"/>
                  <w:sz w:val="18"/>
                  <w:szCs w:val="18"/>
                  <w:color w:val="0000FF"/>
                  <w:w w:val="98"/>
                </w:rPr>
                <w:t>Company, N.A., as warrant agent</w:t>
              </w:r>
            </w:hyperlink>
          </w:p>
        </w:tc>
        <w:tc>
          <w:tcPr>
            <w:tcW w:w="480" w:type="dxa"/>
            <w:vAlign w:val="bottom"/>
            <w:tcBorders>
              <w:top w:val="single" w:sz="8" w:color="0000FF"/>
            </w:tcBorders>
            <w:gridSpan w:val="3"/>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900" w:type="dxa"/>
            <w:vAlign w:val="bottom"/>
            <w:gridSpan w:val="2"/>
            <w:vMerge w:val="continue"/>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60" w:type="dxa"/>
            <w:vAlign w:val="bottom"/>
            <w:gridSpan w:val="27"/>
          </w:tcPr>
          <w:p>
            <w:pPr>
              <w:spacing w:after="0"/>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Form of Warrant Agreement by and among Sonder</w:t>
              </w:r>
            </w:hyperlink>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Borders>
              <w:top w:val="single" w:sz="8" w:color="0000FF"/>
            </w:tcBorders>
            <w:gridSpan w:val="3"/>
          </w:tcPr>
          <w:p>
            <w:pPr>
              <w:spacing w:after="0" w:line="156" w:lineRule="exact"/>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Holdings</w:t>
              </w:r>
            </w:hyperlink>
          </w:p>
        </w:tc>
        <w:tc>
          <w:tcPr>
            <w:tcW w:w="680" w:type="dxa"/>
            <w:vAlign w:val="bottom"/>
            <w:tcBorders>
              <w:top w:val="single" w:sz="8" w:color="0000FF"/>
            </w:tcBorders>
          </w:tcPr>
          <w:p>
            <w:pPr>
              <w:ind w:left="140"/>
              <w:spacing w:after="0" w:line="156" w:lineRule="exact"/>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Inc.,</w:t>
              </w:r>
            </w:hyperlink>
          </w:p>
        </w:tc>
        <w:tc>
          <w:tcPr>
            <w:tcW w:w="1380" w:type="dxa"/>
            <w:vAlign w:val="bottom"/>
            <w:tcBorders>
              <w:top w:val="single" w:sz="8" w:color="0000FF"/>
            </w:tcBorders>
            <w:gridSpan w:val="8"/>
          </w:tcPr>
          <w:p>
            <w:pPr>
              <w:ind w:left="80"/>
              <w:spacing w:after="0" w:line="156" w:lineRule="exact"/>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Computershare</w:t>
              </w:r>
            </w:hyperlink>
          </w:p>
        </w:tc>
        <w:tc>
          <w:tcPr>
            <w:tcW w:w="460" w:type="dxa"/>
            <w:vAlign w:val="bottom"/>
            <w:tcBorders>
              <w:top w:val="single" w:sz="8" w:color="0000FF"/>
            </w:tcBorders>
            <w:gridSpan w:val="2"/>
          </w:tcPr>
          <w:p>
            <w:pPr>
              <w:ind w:left="100"/>
              <w:spacing w:after="0" w:line="156" w:lineRule="exact"/>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Inc.,</w:t>
              </w:r>
            </w:hyperlink>
          </w:p>
        </w:tc>
        <w:tc>
          <w:tcPr>
            <w:tcW w:w="520" w:type="dxa"/>
            <w:vAlign w:val="bottom"/>
            <w:tcBorders>
              <w:top w:val="single" w:sz="8" w:color="0000FF"/>
            </w:tcBorders>
            <w:gridSpan w:val="3"/>
          </w:tcPr>
          <w:p>
            <w:pPr>
              <w:ind w:left="260"/>
              <w:spacing w:after="0" w:line="156" w:lineRule="exact"/>
              <w:rPr>
                <w:rFonts w:ascii="Times New Roman" w:cs="Times New Roman" w:eastAsia="Times New Roman" w:hAnsi="Times New Roman"/>
                <w:sz w:val="18"/>
                <w:szCs w:val="18"/>
                <w:color w:val="0000FF"/>
                <w:w w:val="92"/>
              </w:rPr>
            </w:pPr>
            <w:hyperlink r:id="rId80">
              <w:r>
                <w:rPr>
                  <w:rFonts w:ascii="Times New Roman" w:cs="Times New Roman" w:eastAsia="Times New Roman" w:hAnsi="Times New Roman"/>
                  <w:sz w:val="18"/>
                  <w:szCs w:val="18"/>
                  <w:color w:val="0000FF"/>
                  <w:w w:val="92"/>
                </w:rPr>
                <w:t>and</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0" w:type="dxa"/>
            <w:vAlign w:val="bottom"/>
            <w:tcBorders>
              <w:top w:val="single" w:sz="8" w:color="0000FF"/>
            </w:tcBorders>
            <w:gridSpan w:val="24"/>
          </w:tcPr>
          <w:p>
            <w:pPr>
              <w:spacing w:after="0" w:line="169" w:lineRule="exact"/>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Computershare Trust Company, N.A., dated January</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8"/>
                <w:szCs w:val="18"/>
                <w:color w:val="auto"/>
                <w:w w:val="95"/>
              </w:rPr>
              <w:t>S-1</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333-262438</w:t>
            </w:r>
          </w:p>
        </w:tc>
        <w:tc>
          <w:tcPr>
            <w:tcW w:w="100" w:type="dxa"/>
            <w:vAlign w:val="bottom"/>
          </w:tcPr>
          <w:p>
            <w:pPr>
              <w:spacing w:after="0"/>
              <w:rPr>
                <w:sz w:val="14"/>
                <w:szCs w:val="14"/>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100" w:type="dxa"/>
            <w:vAlign w:val="bottom"/>
          </w:tcPr>
          <w:p>
            <w:pPr>
              <w:spacing w:after="0"/>
              <w:rPr>
                <w:sz w:val="14"/>
                <w:szCs w:val="14"/>
                <w:color w:val="auto"/>
              </w:rPr>
            </w:pPr>
          </w:p>
        </w:tc>
        <w:tc>
          <w:tcPr>
            <w:tcW w:w="19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rPr>
              <w:t>January 31, 2022</w:t>
            </w: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8"/>
              </w:rPr>
            </w:pPr>
            <w:hyperlink r:id="rId80">
              <w:r>
                <w:rPr>
                  <w:rFonts w:ascii="Times New Roman" w:cs="Times New Roman" w:eastAsia="Times New Roman" w:hAnsi="Times New Roman"/>
                  <w:sz w:val="18"/>
                  <w:szCs w:val="18"/>
                  <w:color w:val="0000FF"/>
                  <w:w w:val="98"/>
                </w:rPr>
                <w:t>19, 2022</w:t>
              </w:r>
            </w:hyperlink>
          </w:p>
        </w:tc>
        <w:tc>
          <w:tcPr>
            <w:tcW w:w="180" w:type="dxa"/>
            <w:vAlign w:val="bottom"/>
            <w:tcBorders>
              <w:top w:val="single" w:sz="8" w:color="0000FF"/>
            </w:tcBorders>
          </w:tcPr>
          <w:p>
            <w:pPr>
              <w:spacing w:after="0"/>
              <w:rPr>
                <w:sz w:val="13"/>
                <w:szCs w:val="13"/>
                <w:color w:val="auto"/>
              </w:rPr>
            </w:pPr>
          </w:p>
        </w:tc>
        <w:tc>
          <w:tcPr>
            <w:tcW w:w="6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900" w:type="dxa"/>
            <w:vAlign w:val="bottom"/>
            <w:gridSpan w:val="2"/>
            <w:vMerge w:val="continue"/>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60" w:type="dxa"/>
            <w:vAlign w:val="bottom"/>
            <w:gridSpan w:val="27"/>
          </w:tcPr>
          <w:p>
            <w:pPr>
              <w:spacing w:after="0"/>
              <w:rPr>
                <w:rFonts w:ascii="Times New Roman" w:cs="Times New Roman" w:eastAsia="Times New Roman" w:hAnsi="Times New Roman"/>
                <w:sz w:val="18"/>
                <w:szCs w:val="18"/>
                <w:color w:val="0000FF"/>
              </w:rPr>
            </w:pPr>
            <w:hyperlink r:id="rId75">
              <w:r>
                <w:rPr>
                  <w:rFonts w:ascii="Times New Roman" w:cs="Times New Roman" w:eastAsia="Times New Roman" w:hAnsi="Times New Roman"/>
                  <w:sz w:val="18"/>
                  <w:szCs w:val="18"/>
                  <w:color w:val="0000FF"/>
                </w:rPr>
                <w:t>Form of Warrant Agreement by and among the</w:t>
              </w:r>
            </w:hyperlink>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8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75">
              <w:r>
                <w:rPr>
                  <w:rFonts w:ascii="Times New Roman" w:cs="Times New Roman" w:eastAsia="Times New Roman" w:hAnsi="Times New Roman"/>
                  <w:sz w:val="18"/>
                  <w:szCs w:val="18"/>
                  <w:color w:val="0000FF"/>
                </w:rPr>
                <w:t>Company, Computershare Inc. and Computershare</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8"/>
                <w:szCs w:val="18"/>
                <w:color w:val="auto"/>
                <w:w w:val="99"/>
              </w:rPr>
              <w:t>8-K</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001-39907</w:t>
            </w:r>
          </w:p>
        </w:tc>
        <w:tc>
          <w:tcPr>
            <w:tcW w:w="100" w:type="dxa"/>
            <w:vAlign w:val="bottom"/>
          </w:tcPr>
          <w:p>
            <w:pPr>
              <w:spacing w:after="0"/>
              <w:rPr>
                <w:sz w:val="13"/>
                <w:szCs w:val="13"/>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13"/>
                <w:szCs w:val="13"/>
                <w:color w:val="auto"/>
              </w:rPr>
            </w:pPr>
          </w:p>
        </w:tc>
        <w:tc>
          <w:tcPr>
            <w:tcW w:w="19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8"/>
              </w:rPr>
              <w:t>December 30, 2024</w:t>
            </w: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20" w:type="dxa"/>
            <w:vAlign w:val="bottom"/>
            <w:tcBorders>
              <w:top w:val="single" w:sz="8" w:color="0000FF"/>
              <w:bottom w:val="single" w:sz="8" w:color="0000FF"/>
            </w:tcBorders>
            <w:gridSpan w:val="11"/>
          </w:tcPr>
          <w:p>
            <w:pPr>
              <w:spacing w:after="0" w:line="169" w:lineRule="exact"/>
              <w:rPr>
                <w:rFonts w:ascii="Times New Roman" w:cs="Times New Roman" w:eastAsia="Times New Roman" w:hAnsi="Times New Roman"/>
                <w:sz w:val="18"/>
                <w:szCs w:val="18"/>
                <w:color w:val="0000FF"/>
                <w:w w:val="98"/>
              </w:rPr>
            </w:pPr>
            <w:hyperlink r:id="rId75">
              <w:r>
                <w:rPr>
                  <w:rFonts w:ascii="Times New Roman" w:cs="Times New Roman" w:eastAsia="Times New Roman" w:hAnsi="Times New Roman"/>
                  <w:sz w:val="18"/>
                  <w:szCs w:val="18"/>
                  <w:color w:val="0000FF"/>
                  <w:w w:val="98"/>
                </w:rPr>
                <w:t>Trust Company, N.A., as warrant agent</w:t>
              </w:r>
            </w:hyperlink>
          </w:p>
        </w:tc>
        <w:tc>
          <w:tcPr>
            <w:tcW w:w="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8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9"/>
              </w:rPr>
            </w:pPr>
            <w:hyperlink r:id="rId76">
              <w:r>
                <w:rPr>
                  <w:rFonts w:ascii="Times New Roman" w:cs="Times New Roman" w:eastAsia="Times New Roman" w:hAnsi="Times New Roman"/>
                  <w:sz w:val="18"/>
                  <w:szCs w:val="18"/>
                  <w:color w:val="0000FF"/>
                  <w:w w:val="99"/>
                </w:rPr>
                <w:t>Form of Securities Purchase Agreement</w:t>
              </w:r>
            </w:hyperlink>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8-K</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001-39907</w:t>
            </w:r>
          </w:p>
        </w:tc>
        <w:tc>
          <w:tcPr>
            <w:tcW w:w="100" w:type="dxa"/>
            <w:vAlign w:val="bottom"/>
          </w:tcPr>
          <w:p>
            <w:pPr>
              <w:spacing w:after="0"/>
              <w:rPr>
                <w:sz w:val="22"/>
                <w:szCs w:val="22"/>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10.3</w:t>
            </w:r>
          </w:p>
        </w:tc>
        <w:tc>
          <w:tcPr>
            <w:tcW w:w="100" w:type="dxa"/>
            <w:vAlign w:val="bottom"/>
          </w:tcPr>
          <w:p>
            <w:pPr>
              <w:spacing w:after="0"/>
              <w:rPr>
                <w:sz w:val="22"/>
                <w:szCs w:val="22"/>
                <w:color w:val="auto"/>
              </w:rPr>
            </w:pP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August 19, 2024</w:t>
            </w: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60" w:type="dxa"/>
            <w:vAlign w:val="bottom"/>
            <w:gridSpan w:val="27"/>
          </w:tcPr>
          <w:p>
            <w:pPr>
              <w:spacing w:after="0"/>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Form of Limited Waiver and Consent Agreement by</w:t>
              </w:r>
            </w:hyperlink>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4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and  among  the  Company  and  the  Preferred</w:t>
              </w:r>
            </w:hyperlink>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8"/>
                <w:szCs w:val="18"/>
                <w:color w:val="auto"/>
                <w:w w:val="99"/>
              </w:rPr>
              <w:t>8-K</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001-39907</w:t>
            </w:r>
          </w:p>
        </w:tc>
        <w:tc>
          <w:tcPr>
            <w:tcW w:w="100" w:type="dxa"/>
            <w:vAlign w:val="bottom"/>
          </w:tcPr>
          <w:p>
            <w:pPr>
              <w:spacing w:after="0"/>
              <w:rPr>
                <w:sz w:val="13"/>
                <w:szCs w:val="13"/>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00" w:type="dxa"/>
            <w:vAlign w:val="bottom"/>
          </w:tcPr>
          <w:p>
            <w:pPr>
              <w:spacing w:after="0"/>
              <w:rPr>
                <w:sz w:val="13"/>
                <w:szCs w:val="13"/>
                <w:color w:val="auto"/>
              </w:rPr>
            </w:pPr>
          </w:p>
        </w:tc>
        <w:tc>
          <w:tcPr>
            <w:tcW w:w="19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8"/>
              </w:rPr>
              <w:t>October 29, 2024</w:t>
            </w: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00" w:type="dxa"/>
            <w:vAlign w:val="bottom"/>
            <w:tcBorders>
              <w:top w:val="single" w:sz="8" w:color="0000FF"/>
              <w:bottom w:val="single" w:sz="8" w:color="0000FF"/>
            </w:tcBorders>
            <w:gridSpan w:val="6"/>
          </w:tcPr>
          <w:p>
            <w:pPr>
              <w:spacing w:after="0" w:line="169" w:lineRule="exact"/>
              <w:rPr>
                <w:rFonts w:ascii="Times New Roman" w:cs="Times New Roman" w:eastAsia="Times New Roman" w:hAnsi="Times New Roman"/>
                <w:sz w:val="18"/>
                <w:szCs w:val="18"/>
                <w:color w:val="0000FF"/>
                <w:w w:val="98"/>
              </w:rPr>
            </w:pPr>
            <w:hyperlink r:id="rId81">
              <w:r>
                <w:rPr>
                  <w:rFonts w:ascii="Times New Roman" w:cs="Times New Roman" w:eastAsia="Times New Roman" w:hAnsi="Times New Roman"/>
                  <w:sz w:val="18"/>
                  <w:szCs w:val="18"/>
                  <w:color w:val="0000FF"/>
                  <w:w w:val="98"/>
                </w:rPr>
                <w:t>Stockholders party thereto</w:t>
              </w:r>
            </w:hyperlink>
          </w:p>
        </w:tc>
        <w:tc>
          <w:tcPr>
            <w:tcW w:w="980" w:type="dxa"/>
            <w:vAlign w:val="bottom"/>
            <w:tcBorders>
              <w:top w:val="single" w:sz="8" w:color="0000FF"/>
            </w:tcBorders>
            <w:gridSpan w:val="6"/>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60" w:type="dxa"/>
            <w:vAlign w:val="bottom"/>
            <w:gridSpan w:val="27"/>
          </w:tcPr>
          <w:p>
            <w:pPr>
              <w:spacing w:after="0"/>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Limited Waiver and Consent Agreement, dated as of</w:t>
              </w:r>
            </w:hyperlink>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6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October 28, 2024, by and among the Company, the</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80" w:type="dxa"/>
            <w:vAlign w:val="bottom"/>
            <w:tcBorders>
              <w:top w:val="single" w:sz="8" w:color="0000FF"/>
            </w:tcBorders>
            <w:gridSpan w:val="18"/>
          </w:tcPr>
          <w:p>
            <w:pPr>
              <w:spacing w:after="0" w:line="169" w:lineRule="exact"/>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Note Obligors, the Guarantors, the Investors party</w:t>
              </w:r>
            </w:hyperlink>
          </w:p>
        </w:tc>
        <w:tc>
          <w:tcPr>
            <w:tcW w:w="160" w:type="dxa"/>
            <w:vAlign w:val="bottom"/>
            <w:gridSpan w:val="8"/>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8"/>
                <w:szCs w:val="18"/>
                <w:color w:val="auto"/>
                <w:w w:val="99"/>
              </w:rPr>
              <w:t>8-K</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001-39907</w:t>
            </w:r>
          </w:p>
        </w:tc>
        <w:tc>
          <w:tcPr>
            <w:tcW w:w="100" w:type="dxa"/>
            <w:vAlign w:val="bottom"/>
          </w:tcPr>
          <w:p>
            <w:pPr>
              <w:spacing w:after="0"/>
              <w:rPr>
                <w:sz w:val="14"/>
                <w:szCs w:val="14"/>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00" w:type="dxa"/>
            <w:vAlign w:val="bottom"/>
          </w:tcPr>
          <w:p>
            <w:pPr>
              <w:spacing w:after="0"/>
              <w:rPr>
                <w:sz w:val="14"/>
                <w:szCs w:val="14"/>
                <w:color w:val="auto"/>
              </w:rPr>
            </w:pPr>
          </w:p>
        </w:tc>
        <w:tc>
          <w:tcPr>
            <w:tcW w:w="19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8"/>
              </w:rPr>
              <w:t>October 29, 2024</w:t>
            </w: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0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8"/>
              </w:rPr>
            </w:pPr>
            <w:hyperlink r:id="rId81">
              <w:r>
                <w:rPr>
                  <w:rFonts w:ascii="Times New Roman" w:cs="Times New Roman" w:eastAsia="Times New Roman" w:hAnsi="Times New Roman"/>
                  <w:sz w:val="18"/>
                  <w:szCs w:val="18"/>
                  <w:color w:val="0000FF"/>
                  <w:w w:val="98"/>
                </w:rPr>
                <w:t>hereto and the Agent</w:t>
              </w:r>
            </w:hyperlink>
          </w:p>
        </w:tc>
        <w:tc>
          <w:tcPr>
            <w:tcW w:w="2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900" w:type="dxa"/>
            <w:vAlign w:val="bottom"/>
            <w:gridSpan w:val="2"/>
            <w:vMerge w:val="continue"/>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60" w:type="dxa"/>
            <w:vAlign w:val="bottom"/>
            <w:gridSpan w:val="27"/>
          </w:tcPr>
          <w:p>
            <w:pPr>
              <w:spacing w:after="0"/>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Waiver Agreement, dated as of October 28, 2024, by</w:t>
              </w:r>
            </w:hyperlink>
          </w:p>
        </w:tc>
        <w:tc>
          <w:tcPr>
            <w:tcW w:w="7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8"/>
                <w:szCs w:val="18"/>
                <w:color w:val="auto"/>
                <w:w w:val="99"/>
              </w:rPr>
              <w:t>8-K</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001-39907</w:t>
            </w:r>
          </w:p>
        </w:tc>
        <w:tc>
          <w:tcPr>
            <w:tcW w:w="100" w:type="dxa"/>
            <w:vAlign w:val="bottom"/>
          </w:tcPr>
          <w:p>
            <w:pPr>
              <w:spacing w:after="0"/>
              <w:rPr>
                <w:sz w:val="22"/>
                <w:szCs w:val="22"/>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10.3</w:t>
            </w:r>
          </w:p>
        </w:tc>
        <w:tc>
          <w:tcPr>
            <w:tcW w:w="100" w:type="dxa"/>
            <w:vAlign w:val="bottom"/>
          </w:tcPr>
          <w:p>
            <w:pPr>
              <w:spacing w:after="0"/>
              <w:rPr>
                <w:sz w:val="22"/>
                <w:szCs w:val="22"/>
                <w:color w:val="auto"/>
              </w:rPr>
            </w:pPr>
          </w:p>
        </w:tc>
        <w:tc>
          <w:tcPr>
            <w:tcW w:w="19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8"/>
              </w:rPr>
              <w:t>October 29, 2024</w:t>
            </w: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80" w:type="dxa"/>
            <w:vAlign w:val="bottom"/>
            <w:tcBorders>
              <w:top w:val="single" w:sz="8" w:color="0000FF"/>
            </w:tcBorders>
            <w:gridSpan w:val="12"/>
          </w:tcPr>
          <w:p>
            <w:pPr>
              <w:spacing w:after="0" w:line="142" w:lineRule="exact"/>
              <w:rPr>
                <w:rFonts w:ascii="Times New Roman" w:cs="Times New Roman" w:eastAsia="Times New Roman" w:hAnsi="Times New Roman"/>
                <w:sz w:val="16"/>
                <w:szCs w:val="16"/>
                <w:color w:val="0000FF"/>
              </w:rPr>
            </w:pPr>
            <w:hyperlink r:id="rId81">
              <w:r>
                <w:rPr>
                  <w:rFonts w:ascii="Times New Roman" w:cs="Times New Roman" w:eastAsia="Times New Roman" w:hAnsi="Times New Roman"/>
                  <w:sz w:val="16"/>
                  <w:szCs w:val="16"/>
                  <w:color w:val="0000FF"/>
                </w:rPr>
                <w:t>and among the Borrowers and SVB</w:t>
              </w:r>
            </w:hyperlink>
          </w:p>
        </w:tc>
        <w:tc>
          <w:tcPr>
            <w:tcW w:w="3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900" w:type="dxa"/>
            <w:vAlign w:val="bottom"/>
            <w:gridSpan w:val="2"/>
            <w:vMerge w:val="continue"/>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60" w:type="dxa"/>
            <w:vAlign w:val="bottom"/>
            <w:tcBorders>
              <w:top w:val="single" w:sz="8" w:color="0000FF"/>
            </w:tcBorders>
            <w:gridSpan w:val="10"/>
          </w:tcPr>
          <w:p>
            <w:pPr>
              <w:spacing w:after="0"/>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2021 Equity Incentive Plan</w:t>
              </w:r>
            </w:hyperlink>
          </w:p>
        </w:tc>
        <w:tc>
          <w:tcPr>
            <w:tcW w:w="320" w:type="dxa"/>
            <w:vAlign w:val="bottom"/>
            <w:gridSpan w:val="2"/>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S-4/A</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333-262438</w:t>
            </w:r>
          </w:p>
        </w:tc>
        <w:tc>
          <w:tcPr>
            <w:tcW w:w="10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10.8</w:t>
            </w:r>
          </w:p>
        </w:tc>
        <w:tc>
          <w:tcPr>
            <w:tcW w:w="100" w:type="dxa"/>
            <w:vAlign w:val="bottom"/>
          </w:tcPr>
          <w:p>
            <w:pPr>
              <w:spacing w:after="0"/>
              <w:rPr>
                <w:sz w:val="24"/>
                <w:szCs w:val="24"/>
                <w:color w:val="auto"/>
              </w:rPr>
            </w:pP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December 13, 2021</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gridSpan w:val="7"/>
            <w:shd w:val="clear" w:color="auto" w:fill="0000FF"/>
          </w:tcPr>
          <w:p>
            <w:pPr>
              <w:spacing w:after="0" w:line="20" w:lineRule="exact"/>
              <w:rPr>
                <w:sz w:val="1"/>
                <w:szCs w:val="1"/>
                <w:color w:val="auto"/>
              </w:rPr>
            </w:pPr>
          </w:p>
        </w:tc>
        <w:tc>
          <w:tcPr>
            <w:tcW w:w="1780" w:type="dxa"/>
            <w:vAlign w:val="bottom"/>
            <w:gridSpan w:val="8"/>
          </w:tcPr>
          <w:p>
            <w:pPr>
              <w:spacing w:after="0" w:line="20" w:lineRule="exact"/>
              <w:rPr>
                <w:sz w:val="1"/>
                <w:szCs w:val="1"/>
                <w:color w:val="auto"/>
              </w:rPr>
            </w:pPr>
          </w:p>
        </w:tc>
        <w:tc>
          <w:tcPr>
            <w:tcW w:w="30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60" w:type="dxa"/>
            <w:vAlign w:val="bottom"/>
            <w:gridSpan w:val="27"/>
          </w:tcPr>
          <w:p>
            <w:pPr>
              <w:spacing w:after="0"/>
              <w:rPr>
                <w:rFonts w:ascii="Times New Roman" w:cs="Times New Roman" w:eastAsia="Times New Roman" w:hAnsi="Times New Roman"/>
                <w:sz w:val="18"/>
                <w:szCs w:val="18"/>
                <w:color w:val="0000FF"/>
              </w:rPr>
            </w:pPr>
            <w:hyperlink r:id="rId75">
              <w:r>
                <w:rPr>
                  <w:rFonts w:ascii="Times New Roman" w:cs="Times New Roman" w:eastAsia="Times New Roman" w:hAnsi="Times New Roman"/>
                  <w:sz w:val="18"/>
                  <w:szCs w:val="18"/>
                  <w:color w:val="0000FF"/>
                </w:rPr>
                <w:t>First  Amendment  to  Sonder  Holdings  Inc.  2021</w:t>
              </w:r>
            </w:hyperlink>
          </w:p>
        </w:tc>
        <w:tc>
          <w:tcPr>
            <w:tcW w:w="7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8"/>
                <w:szCs w:val="18"/>
                <w:color w:val="auto"/>
                <w:w w:val="99"/>
              </w:rPr>
              <w:t>8-K</w:t>
            </w:r>
          </w:p>
        </w:tc>
        <w:tc>
          <w:tcPr>
            <w:tcW w:w="126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color w:val="auto"/>
                <w:w w:val="99"/>
              </w:rPr>
              <w:t>001-39907</w:t>
            </w:r>
          </w:p>
        </w:tc>
        <w:tc>
          <w:tcPr>
            <w:tcW w:w="100" w:type="dxa"/>
            <w:vAlign w:val="bottom"/>
          </w:tcPr>
          <w:p>
            <w:pPr>
              <w:spacing w:after="0"/>
              <w:rPr>
                <w:sz w:val="18"/>
                <w:szCs w:val="18"/>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00" w:type="dxa"/>
            <w:vAlign w:val="bottom"/>
          </w:tcPr>
          <w:p>
            <w:pPr>
              <w:spacing w:after="0"/>
              <w:rPr>
                <w:sz w:val="18"/>
                <w:szCs w:val="18"/>
                <w:color w:val="auto"/>
              </w:rPr>
            </w:pPr>
          </w:p>
        </w:tc>
        <w:tc>
          <w:tcPr>
            <w:tcW w:w="19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8"/>
              </w:rPr>
              <w:t>December 30, 2024</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4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75">
              <w:r>
                <w:rPr>
                  <w:rFonts w:ascii="Times New Roman" w:cs="Times New Roman" w:eastAsia="Times New Roman" w:hAnsi="Times New Roman"/>
                  <w:sz w:val="18"/>
                  <w:szCs w:val="18"/>
                  <w:color w:val="0000FF"/>
                </w:rPr>
                <w:t>Equity Incentive Plan, effective December 23, 2024</w:t>
              </w:r>
            </w:hyperlink>
          </w:p>
        </w:tc>
        <w:tc>
          <w:tcPr>
            <w:tcW w:w="2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900" w:type="dxa"/>
            <w:vAlign w:val="bottom"/>
            <w:gridSpan w:val="2"/>
            <w:vMerge w:val="continue"/>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4"/>
        </w:trPr>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1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40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and</w:t>
            </w:r>
          </w:p>
        </w:tc>
      </w:tr>
      <w:tr>
        <w:trPr>
          <w:trHeight w:val="156"/>
        </w:trPr>
        <w:tc>
          <w:tcPr>
            <w:tcW w:w="1240" w:type="dxa"/>
            <w:vAlign w:val="bottom"/>
          </w:tcPr>
          <w:p>
            <w:pPr>
              <w:spacing w:after="0"/>
              <w:rPr>
                <w:sz w:val="13"/>
                <w:szCs w:val="13"/>
                <w:color w:val="auto"/>
              </w:rPr>
            </w:pPr>
          </w:p>
        </w:tc>
        <w:tc>
          <w:tcPr>
            <w:tcW w:w="3960" w:type="dxa"/>
            <w:vAlign w:val="bottom"/>
            <w:tcBorders>
              <w:top w:val="single" w:sz="8" w:color="0000FF"/>
            </w:tcBorders>
            <w:gridSpan w:val="6"/>
          </w:tcPr>
          <w:p>
            <w:pPr>
              <w:spacing w:after="0" w:line="156" w:lineRule="exact"/>
              <w:rPr>
                <w:sz w:val="20"/>
                <w:szCs w:val="20"/>
                <w:color w:val="auto"/>
              </w:rPr>
            </w:pPr>
            <w:r>
              <w:rPr>
                <w:rFonts w:ascii="Times New Roman" w:cs="Times New Roman" w:eastAsia="Times New Roman" w:hAnsi="Times New Roman"/>
                <w:sz w:val="18"/>
                <w:szCs w:val="18"/>
                <w:color w:val="0000FF"/>
              </w:rPr>
              <w:t>Principal Financial Officer Pursuant to Rules 13a-</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3940" w:type="dxa"/>
            <w:vAlign w:val="bottom"/>
            <w:tcBorders>
              <w:top w:val="single" w:sz="8" w:color="0000FF"/>
            </w:tcBorders>
            <w:gridSpan w:val="5"/>
          </w:tcPr>
          <w:p>
            <w:pPr>
              <w:spacing w:after="0" w:line="169" w:lineRule="exact"/>
              <w:rPr>
                <w:sz w:val="20"/>
                <w:szCs w:val="20"/>
                <w:color w:val="auto"/>
              </w:rPr>
            </w:pPr>
            <w:r>
              <w:rPr>
                <w:rFonts w:ascii="Times New Roman" w:cs="Times New Roman" w:eastAsia="Times New Roman" w:hAnsi="Times New Roman"/>
                <w:sz w:val="18"/>
                <w:szCs w:val="18"/>
                <w:color w:val="0000FF"/>
              </w:rPr>
              <w:t>14(a) and 15d-14(a) under the Securities Exchange</w:t>
            </w: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3900" w:type="dxa"/>
            <w:vAlign w:val="bottom"/>
            <w:tcBorders>
              <w:top w:val="single" w:sz="8" w:color="0000FF"/>
            </w:tcBorders>
            <w:gridSpan w:val="3"/>
          </w:tcPr>
          <w:p>
            <w:pPr>
              <w:spacing w:after="0" w:line="156" w:lineRule="exact"/>
              <w:rPr>
                <w:sz w:val="20"/>
                <w:szCs w:val="20"/>
                <w:color w:val="auto"/>
              </w:rPr>
            </w:pPr>
            <w:r>
              <w:rPr>
                <w:rFonts w:ascii="Times New Roman" w:cs="Times New Roman" w:eastAsia="Times New Roman" w:hAnsi="Times New Roman"/>
                <w:sz w:val="18"/>
                <w:szCs w:val="18"/>
                <w:color w:val="0000FF"/>
              </w:rPr>
              <w:t>Act of 1934, as Adopted Pursuant to Section 302 of</w:t>
            </w: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240" w:type="dxa"/>
            <w:vAlign w:val="bottom"/>
          </w:tcPr>
          <w:p>
            <w:pPr>
              <w:spacing w:after="0"/>
              <w:rPr>
                <w:sz w:val="13"/>
                <w:szCs w:val="13"/>
                <w:color w:val="auto"/>
              </w:rPr>
            </w:pPr>
          </w:p>
        </w:tc>
        <w:tc>
          <w:tcPr>
            <w:tcW w:w="232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9"/>
              </w:rPr>
              <w:t>the Sarbanes-Oxley Act of 2002</w:t>
            </w:r>
          </w:p>
        </w:tc>
        <w:tc>
          <w:tcPr>
            <w:tcW w:w="1560" w:type="dxa"/>
            <w:vAlign w:val="bottom"/>
            <w:tcBorders>
              <w:top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40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and</w:t>
            </w:r>
          </w:p>
        </w:tc>
      </w:tr>
      <w:tr>
        <w:trPr>
          <w:trHeight w:val="156"/>
        </w:trPr>
        <w:tc>
          <w:tcPr>
            <w:tcW w:w="1240" w:type="dxa"/>
            <w:vAlign w:val="bottom"/>
          </w:tcPr>
          <w:p>
            <w:pPr>
              <w:spacing w:after="0"/>
              <w:rPr>
                <w:sz w:val="13"/>
                <w:szCs w:val="13"/>
                <w:color w:val="auto"/>
              </w:rPr>
            </w:pPr>
          </w:p>
        </w:tc>
        <w:tc>
          <w:tcPr>
            <w:tcW w:w="3980" w:type="dxa"/>
            <w:vAlign w:val="bottom"/>
            <w:tcBorders>
              <w:top w:val="single" w:sz="8" w:color="0000FF"/>
              <w:bottom w:val="single" w:sz="8" w:color="0000FF"/>
            </w:tcBorders>
            <w:gridSpan w:val="7"/>
          </w:tcPr>
          <w:p>
            <w:pPr>
              <w:spacing w:after="0" w:line="156" w:lineRule="exact"/>
              <w:rPr>
                <w:sz w:val="20"/>
                <w:szCs w:val="20"/>
                <w:color w:val="auto"/>
              </w:rPr>
            </w:pPr>
            <w:r>
              <w:rPr>
                <w:rFonts w:ascii="Times New Roman" w:cs="Times New Roman" w:eastAsia="Times New Roman" w:hAnsi="Times New Roman"/>
                <w:sz w:val="18"/>
                <w:szCs w:val="18"/>
                <w:color w:val="0000FF"/>
              </w:rPr>
              <w:t>Principal Financial Officer Pursuant to 18 U.S.C.</w:t>
            </w: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1240" w:type="dxa"/>
            <w:vAlign w:val="bottom"/>
          </w:tcPr>
          <w:p>
            <w:pPr>
              <w:spacing w:after="0"/>
              <w:rPr>
                <w:sz w:val="14"/>
                <w:szCs w:val="14"/>
                <w:color w:val="auto"/>
              </w:rPr>
            </w:pPr>
          </w:p>
        </w:tc>
        <w:tc>
          <w:tcPr>
            <w:tcW w:w="4000" w:type="dxa"/>
            <w:vAlign w:val="bottom"/>
            <w:gridSpan w:val="8"/>
          </w:tcPr>
          <w:p>
            <w:pPr>
              <w:spacing w:after="0" w:line="169" w:lineRule="exact"/>
              <w:rPr>
                <w:sz w:val="20"/>
                <w:szCs w:val="20"/>
                <w:color w:val="auto"/>
              </w:rPr>
            </w:pPr>
            <w:r>
              <w:rPr>
                <w:rFonts w:ascii="Times New Roman" w:cs="Times New Roman" w:eastAsia="Times New Roman" w:hAnsi="Times New Roman"/>
                <w:sz w:val="18"/>
                <w:szCs w:val="18"/>
                <w:color w:val="0000FF"/>
              </w:rPr>
              <w:t>Section 1350, as Adopted Pursuant to Section 906 of</w:t>
            </w:r>
          </w:p>
        </w:tc>
        <w:tc>
          <w:tcPr>
            <w:tcW w:w="20" w:type="dxa"/>
            <w:vAlign w:val="bottom"/>
          </w:tcPr>
          <w:p>
            <w:pPr>
              <w:spacing w:after="0"/>
              <w:rPr>
                <w:sz w:val="14"/>
                <w:szCs w:val="14"/>
                <w:color w:val="auto"/>
              </w:rPr>
            </w:pPr>
          </w:p>
        </w:tc>
      </w:tr>
      <w:tr>
        <w:trPr>
          <w:trHeight w:val="155"/>
        </w:trPr>
        <w:tc>
          <w:tcPr>
            <w:tcW w:w="1240" w:type="dxa"/>
            <w:vAlign w:val="bottom"/>
          </w:tcPr>
          <w:p>
            <w:pPr>
              <w:spacing w:after="0"/>
              <w:rPr>
                <w:sz w:val="13"/>
                <w:szCs w:val="13"/>
                <w:color w:val="auto"/>
              </w:rPr>
            </w:pPr>
          </w:p>
        </w:tc>
        <w:tc>
          <w:tcPr>
            <w:tcW w:w="232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9"/>
              </w:rPr>
              <w:t>the Sarbanes-Oxley Act of 2002</w:t>
            </w:r>
          </w:p>
        </w:tc>
        <w:tc>
          <w:tcPr>
            <w:tcW w:w="1600" w:type="dxa"/>
            <w:vAlign w:val="bottom"/>
            <w:tcBorders>
              <w:top w:val="single" w:sz="8" w:color="0000FF"/>
            </w:tcBorders>
            <w:gridSpan w:val="3"/>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30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40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2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40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r>
      <w:tr>
        <w:trPr>
          <w:trHeight w:val="234"/>
        </w:trPr>
        <w:tc>
          <w:tcPr>
            <w:tcW w:w="1240" w:type="dxa"/>
            <w:vAlign w:val="bottom"/>
          </w:tcPr>
          <w:p>
            <w:pPr>
              <w:spacing w:after="0"/>
              <w:rPr>
                <w:sz w:val="20"/>
                <w:szCs w:val="20"/>
                <w:color w:val="auto"/>
              </w:rPr>
            </w:pPr>
          </w:p>
        </w:tc>
        <w:tc>
          <w:tcPr>
            <w:tcW w:w="40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Document</w:t>
            </w:r>
          </w:p>
        </w:tc>
      </w:tr>
      <w:tr>
        <w:trPr>
          <w:trHeight w:val="238"/>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40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w:t>
            </w:r>
          </w:p>
        </w:tc>
      </w:tr>
      <w:tr>
        <w:trPr>
          <w:trHeight w:val="234"/>
        </w:trPr>
        <w:tc>
          <w:tcPr>
            <w:tcW w:w="1240" w:type="dxa"/>
            <w:vAlign w:val="bottom"/>
          </w:tcPr>
          <w:p>
            <w:pPr>
              <w:spacing w:after="0"/>
              <w:rPr>
                <w:sz w:val="20"/>
                <w:szCs w:val="20"/>
                <w:color w:val="auto"/>
              </w:rPr>
            </w:pPr>
          </w:p>
        </w:tc>
        <w:tc>
          <w:tcPr>
            <w:tcW w:w="40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Linkbase Document</w:t>
            </w:r>
          </w:p>
        </w:tc>
      </w:tr>
      <w:tr>
        <w:trPr>
          <w:trHeight w:val="238"/>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40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Definition</w:t>
            </w:r>
          </w:p>
        </w:tc>
      </w:tr>
      <w:tr>
        <w:trPr>
          <w:trHeight w:val="234"/>
        </w:trPr>
        <w:tc>
          <w:tcPr>
            <w:tcW w:w="1240" w:type="dxa"/>
            <w:vAlign w:val="bottom"/>
          </w:tcPr>
          <w:p>
            <w:pPr>
              <w:spacing w:after="0"/>
              <w:rPr>
                <w:sz w:val="20"/>
                <w:szCs w:val="20"/>
                <w:color w:val="auto"/>
              </w:rPr>
            </w:pPr>
          </w:p>
        </w:tc>
        <w:tc>
          <w:tcPr>
            <w:tcW w:w="40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Linkbase Document</w:t>
            </w:r>
          </w:p>
        </w:tc>
      </w:tr>
      <w:tr>
        <w:trPr>
          <w:trHeight w:val="238"/>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40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r>
      <w:tr>
        <w:trPr>
          <w:trHeight w:val="234"/>
        </w:trPr>
        <w:tc>
          <w:tcPr>
            <w:tcW w:w="1240" w:type="dxa"/>
            <w:vAlign w:val="bottom"/>
          </w:tcPr>
          <w:p>
            <w:pPr>
              <w:spacing w:after="0"/>
              <w:rPr>
                <w:sz w:val="20"/>
                <w:szCs w:val="20"/>
                <w:color w:val="auto"/>
              </w:rPr>
            </w:pPr>
          </w:p>
        </w:tc>
        <w:tc>
          <w:tcPr>
            <w:tcW w:w="40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Document</w:t>
            </w:r>
          </w:p>
        </w:tc>
      </w:tr>
      <w:tr>
        <w:trPr>
          <w:trHeight w:val="238"/>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40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w:t>
            </w:r>
          </w:p>
        </w:tc>
      </w:tr>
      <w:tr>
        <w:trPr>
          <w:trHeight w:val="234"/>
        </w:trPr>
        <w:tc>
          <w:tcPr>
            <w:tcW w:w="1240" w:type="dxa"/>
            <w:vAlign w:val="bottom"/>
          </w:tcPr>
          <w:p>
            <w:pPr>
              <w:spacing w:after="0"/>
              <w:rPr>
                <w:sz w:val="20"/>
                <w:szCs w:val="20"/>
                <w:color w:val="auto"/>
              </w:rPr>
            </w:pPr>
          </w:p>
        </w:tc>
        <w:tc>
          <w:tcPr>
            <w:tcW w:w="40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Linkbase Document</w:t>
            </w:r>
          </w:p>
        </w:tc>
      </w:tr>
    </w:tbl>
    <w:p>
      <w:pPr>
        <w:spacing w:after="0" w:line="58" w:lineRule="exact"/>
        <w:rPr>
          <w:sz w:val="20"/>
          <w:szCs w:val="20"/>
          <w:color w:val="auto"/>
        </w:rPr>
      </w:pPr>
    </w:p>
    <w:p>
      <w:pPr>
        <w:ind w:left="1260" w:right="4760" w:hanging="1234"/>
        <w:spacing w:after="0" w:line="237" w:lineRule="auto"/>
        <w:tabs>
          <w:tab w:leader="none" w:pos="1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12" w:lineRule="exact"/>
        <w:rPr>
          <w:sz w:val="20"/>
          <w:szCs w:val="20"/>
          <w:color w:val="auto"/>
        </w:rPr>
      </w:pPr>
    </w:p>
    <w:p>
      <w:pPr>
        <w:sectPr>
          <w:pgSz w:w="11900" w:h="16838" w:orient="portrait"/>
          <w:cols w:equalWidth="0" w:num="2">
            <w:col w:w="9920" w:space="720"/>
            <w:col w:w="600"/>
          </w:cols>
          <w:pgMar w:left="320" w:top="117" w:right="339" w:bottom="1440" w:gutter="0" w:footer="0" w:header="0"/>
        </w:sectPr>
      </w:pPr>
    </w:p>
    <w:p>
      <w:pPr>
        <w:spacing w:after="0" w:line="129" w:lineRule="exact"/>
        <w:rPr>
          <w:sz w:val="20"/>
          <w:szCs w:val="20"/>
          <w:color w:val="auto"/>
        </w:rPr>
      </w:pPr>
    </w:p>
    <w:p>
      <w:pPr>
        <w:ind w:left="180" w:right="700" w:hanging="161"/>
        <w:spacing w:after="0" w:line="253" w:lineRule="auto"/>
        <w:tabs>
          <w:tab w:leader="none" w:pos="160" w:val="left"/>
        </w:tabs>
        <w:rPr>
          <w:sz w:val="20"/>
          <w:szCs w:val="20"/>
          <w:color w:val="auto"/>
        </w:rPr>
      </w:pPr>
      <w:r>
        <w:rPr>
          <w:rFonts w:ascii="Times New Roman" w:cs="Times New Roman" w:eastAsia="Times New Roman" w:hAnsi="Times New Roman"/>
          <w:sz w:val="14"/>
          <w:szCs w:val="14"/>
          <w:color w:val="auto"/>
        </w:rPr>
        <w:t>*</w:t>
        <w:tab/>
        <w:t>The schedules to this agreement have been omitted pursuant to Item 601(a)(5) of Regulation S-K. A copy of any omitted schedule will be furnished to the Securities and Exchange Commission upon request.</w:t>
      </w:r>
    </w:p>
    <w:p>
      <w:pPr>
        <w:spacing w:after="0" w:line="1" w:lineRule="exact"/>
        <w:rPr>
          <w:sz w:val="20"/>
          <w:szCs w:val="20"/>
          <w:color w:val="auto"/>
        </w:rPr>
      </w:pPr>
    </w:p>
    <w:p>
      <w:pPr>
        <w:ind w:left="180" w:hanging="172"/>
        <w:spacing w:after="0" w:line="249" w:lineRule="auto"/>
        <w:tabs>
          <w:tab w:leader="none" w:pos="303"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certification is deemed not filed for purposes of section 18 of the Securities Exchange Act of 1934, as amended (the “Exchange Act”), or otherwise subject to the liability of that section, nor shall it be deemed incorporated by reference into any filing under the Securities Act of 1933, as amended, or the Exchange Act.</w:t>
      </w:r>
    </w:p>
    <w:p>
      <w:pPr>
        <w:spacing w:after="0"/>
        <w:rPr>
          <w:sz w:val="20"/>
          <w:szCs w:val="20"/>
          <w:color w:val="auto"/>
        </w:rPr>
      </w:pPr>
      <w:r>
        <w:rPr>
          <w:rFonts w:ascii="Times New Roman" w:cs="Times New Roman" w:eastAsia="Times New Roman" w:hAnsi="Times New Roman"/>
          <w:sz w:val="14"/>
          <w:szCs w:val="14"/>
          <w:color w:val="auto"/>
        </w:rPr>
        <w:t># Indicates management contract of compensatory plan or arrangement.</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7" w:name="page58"/>
    <w:bookmarkEnd w:id="5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Sonder Holdings Inc.</w:t>
            </w:r>
          </w:p>
        </w:tc>
      </w:tr>
      <w:tr>
        <w:trPr>
          <w:trHeight w:val="234"/>
        </w:trPr>
        <w:tc>
          <w:tcPr>
            <w:tcW w:w="54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499"/>
        </w:trPr>
        <w:tc>
          <w:tcPr>
            <w:tcW w:w="6180" w:type="dxa"/>
            <w:vAlign w:val="bottom"/>
            <w:gridSpan w:val="2"/>
          </w:tcPr>
          <w:p>
            <w:pPr>
              <w:jc w:val="center"/>
              <w:ind w:right="680"/>
              <w:spacing w:after="0"/>
              <w:rPr>
                <w:sz w:val="20"/>
                <w:szCs w:val="20"/>
                <w:color w:val="auto"/>
              </w:rPr>
            </w:pPr>
            <w:r>
              <w:rPr>
                <w:rFonts w:ascii="Times New Roman" w:cs="Times New Roman" w:eastAsia="Times New Roman" w:hAnsi="Times New Roman"/>
                <w:sz w:val="18"/>
                <w:szCs w:val="18"/>
                <w:color w:val="auto"/>
              </w:rPr>
              <w:t>February 12, 2025</w:t>
            </w:r>
          </w:p>
        </w:tc>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Rahul Thumati</w:t>
            </w:r>
          </w:p>
        </w:tc>
      </w:tr>
      <w:tr>
        <w:trPr>
          <w:trHeight w:val="218"/>
        </w:trPr>
        <w:tc>
          <w:tcPr>
            <w:tcW w:w="5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700" w:type="dxa"/>
            <w:vAlign w:val="bottom"/>
          </w:tcPr>
          <w:p>
            <w:pPr>
              <w:spacing w:after="0"/>
              <w:rPr>
                <w:sz w:val="18"/>
                <w:szCs w:val="18"/>
                <w:color w:val="auto"/>
              </w:rPr>
            </w:pPr>
          </w:p>
        </w:tc>
        <w:tc>
          <w:tcPr>
            <w:tcW w:w="49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Rahul Thumati</w:t>
            </w:r>
          </w:p>
        </w:tc>
      </w:tr>
      <w:tr>
        <w:trPr>
          <w:trHeight w:val="230"/>
        </w:trPr>
        <w:tc>
          <w:tcPr>
            <w:tcW w:w="5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Interim Chief Accounting Officer</w:t>
            </w:r>
          </w:p>
        </w:tc>
      </w:tr>
      <w:tr>
        <w:trPr>
          <w:trHeight w:val="234"/>
        </w:trPr>
        <w:tc>
          <w:tcPr>
            <w:tcW w:w="54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240"/>
          </w:cols>
          <w:pgMar w:left="320" w:top="927"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Francis Davidson, certify that:</w:t>
      </w:r>
    </w:p>
    <w:p>
      <w:pPr>
        <w:spacing w:after="0" w:line="63" w:lineRule="exact"/>
        <w:rPr>
          <w:sz w:val="20"/>
          <w:szCs w:val="20"/>
          <w:color w:val="auto"/>
        </w:rPr>
      </w:pPr>
    </w:p>
    <w:p>
      <w:pPr>
        <w:ind w:left="660" w:hanging="328"/>
        <w:spacing w:after="0" w:line="207" w:lineRule="exact"/>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for the quarter ended September 30, 2024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of Sonder Holdings Inc. (the “Registrant”);</w:t>
      </w:r>
    </w:p>
    <w:p>
      <w:pPr>
        <w:spacing w:after="0" w:line="29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 w:lineRule="exact"/>
        <w:rPr>
          <w:rFonts w:ascii="Times New Roman" w:cs="Times New Roman" w:eastAsia="Times New Roman" w:hAnsi="Times New Roman"/>
          <w:sz w:val="18"/>
          <w:szCs w:val="18"/>
          <w:color w:val="auto"/>
        </w:rPr>
      </w:pPr>
    </w:p>
    <w:p>
      <w:pPr>
        <w:ind w:left="660" w:hanging="328"/>
        <w:spacing w:after="0" w:line="245" w:lineRule="exact"/>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responsible for establishing and maintaining disclosure controls and procedures (as defined in Exchange Act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internal control over financial reporting (as defined in Exchange Act Rules 13a-15(f) and 15d-15(f)) for the Registrant and have:</w:t>
      </w:r>
    </w:p>
    <w:p>
      <w:pPr>
        <w:spacing w:after="0" w:line="90"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80" w:hanging="324"/>
        <w:spacing w:after="0" w:line="282" w:lineRule="auto"/>
        <w:tabs>
          <w:tab w:leader="none" w:pos="97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February 12, 2025</w:t>
            </w:r>
          </w:p>
        </w:tc>
        <w:tc>
          <w:tcPr>
            <w:tcW w:w="692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By: /s/ Francis Davidson</w:t>
            </w:r>
          </w:p>
        </w:tc>
      </w:tr>
      <w:tr>
        <w:trPr>
          <w:trHeight w:val="218"/>
        </w:trPr>
        <w:tc>
          <w:tcPr>
            <w:tcW w:w="4320" w:type="dxa"/>
            <w:vAlign w:val="bottom"/>
            <w:tcBorders>
              <w:top w:val="single" w:sz="8" w:color="auto"/>
            </w:tcBorders>
          </w:tcPr>
          <w:p>
            <w:pPr>
              <w:spacing w:after="0"/>
              <w:rPr>
                <w:sz w:val="18"/>
                <w:szCs w:val="18"/>
                <w:color w:val="auto"/>
              </w:rPr>
            </w:pPr>
          </w:p>
        </w:tc>
        <w:tc>
          <w:tcPr>
            <w:tcW w:w="1880" w:type="dxa"/>
            <w:vAlign w:val="bottom"/>
          </w:tcPr>
          <w:p>
            <w:pPr>
              <w:spacing w:after="0"/>
              <w:rPr>
                <w:sz w:val="18"/>
                <w:szCs w:val="18"/>
                <w:color w:val="auto"/>
              </w:rPr>
            </w:pPr>
          </w:p>
        </w:tc>
        <w:tc>
          <w:tcPr>
            <w:tcW w:w="50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Francis Davidson</w:t>
            </w:r>
          </w:p>
        </w:tc>
      </w:tr>
      <w:tr>
        <w:trPr>
          <w:trHeight w:val="229"/>
        </w:trPr>
        <w:tc>
          <w:tcPr>
            <w:tcW w:w="43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43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 and Principal Financial Officer)</w:t>
            </w:r>
          </w:p>
        </w:tc>
      </w:tr>
    </w:tbl>
    <w:p>
      <w:pPr>
        <w:sectPr>
          <w:pgSz w:w="11900" w:h="16838" w:orient="portrait"/>
          <w:cols w:equalWidth="0" w:num="1">
            <w:col w:w="11240"/>
          </w:cols>
          <w:pgMar w:left="320" w:top="1089"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AND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Sonder Holdings Inc. (the “Registrant”) for the quarter ended September 30, 2024, as filed with the Securities and Exchange Commission on the date hereof (the “Report”), I, Francis Davidson, Chief Executive Officer of the Registrant, hereby certify pursuant to 18 U.S.C. Section 1350, as adopted pursuant to Section 906 of the Sarbanes-Oxley Act of 2002, that:</w:t>
      </w:r>
    </w:p>
    <w:p>
      <w:pPr>
        <w:spacing w:after="0" w:line="203"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February 12, 2025</w:t>
            </w:r>
          </w:p>
        </w:tc>
        <w:tc>
          <w:tcPr>
            <w:tcW w:w="692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By: /s/ Francis Davidson</w:t>
            </w:r>
          </w:p>
        </w:tc>
      </w:tr>
      <w:tr>
        <w:trPr>
          <w:trHeight w:val="218"/>
        </w:trPr>
        <w:tc>
          <w:tcPr>
            <w:tcW w:w="4320" w:type="dxa"/>
            <w:vAlign w:val="bottom"/>
            <w:tcBorders>
              <w:top w:val="single" w:sz="8" w:color="auto"/>
            </w:tcBorders>
          </w:tcPr>
          <w:p>
            <w:pPr>
              <w:spacing w:after="0"/>
              <w:rPr>
                <w:sz w:val="18"/>
                <w:szCs w:val="18"/>
                <w:color w:val="auto"/>
              </w:rPr>
            </w:pPr>
          </w:p>
        </w:tc>
        <w:tc>
          <w:tcPr>
            <w:tcW w:w="1880" w:type="dxa"/>
            <w:vAlign w:val="bottom"/>
          </w:tcPr>
          <w:p>
            <w:pPr>
              <w:spacing w:after="0"/>
              <w:rPr>
                <w:sz w:val="18"/>
                <w:szCs w:val="18"/>
                <w:color w:val="auto"/>
              </w:rPr>
            </w:pPr>
          </w:p>
        </w:tc>
        <w:tc>
          <w:tcPr>
            <w:tcW w:w="50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Francis Davidson</w:t>
            </w:r>
          </w:p>
        </w:tc>
      </w:tr>
      <w:tr>
        <w:trPr>
          <w:trHeight w:val="229"/>
        </w:trPr>
        <w:tc>
          <w:tcPr>
            <w:tcW w:w="43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43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 and Principal Financial Officer)</w:t>
            </w:r>
          </w:p>
        </w:tc>
      </w:tr>
    </w:tbl>
    <w:p>
      <w:pPr>
        <w:spacing w:after="0" w:line="1" w:lineRule="exact"/>
        <w:rPr>
          <w:sz w:val="20"/>
          <w:szCs w:val="20"/>
          <w:color w:val="auto"/>
        </w:rPr>
      </w:pP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
      <w:numFmt w:val="bullet"/>
      <w:start w:val="1"/>
    </w:lvl>
    <w:lvl w:ilvl="1">
      <w:lvlJc w:val="left"/>
      <w:lvlText w:val="◦"/>
      <w:numFmt w:val="bullet"/>
      <w:start w:val="1"/>
    </w:lvl>
  </w:abstractNum>
  <w:abstractNum w:abstractNumId="12">
    <w:nsid w:val="7FDCC233"/>
    <w:multiLevelType w:val="hybridMultilevel"/>
    <w:lvl w:ilvl="0">
      <w:lvlJc w:val="left"/>
      <w:lvlText w:val="%1"/>
      <w:numFmt w:val="decimal"/>
      <w:start w:val="104"/>
    </w:lvl>
  </w:abstractNum>
  <w:abstractNum w:abstractNumId="13">
    <w:nsid w:val="1BEFD79F"/>
    <w:multiLevelType w:val="hybridMultilevel"/>
    <w:lvl w:ilvl="0">
      <w:lvlJc w:val="left"/>
      <w:lvlText w:val="**"/>
      <w:numFmt w:val="bullet"/>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72" Type="http://schemas.openxmlformats.org/officeDocument/2006/relationships/hyperlink" Target="https://www.sec.gov/ix?doc=/Archives/edgar/data/0001819395/000162828022001184/sond-20220118.htm" TargetMode="External"/><Relationship Id="rId73" Type="http://schemas.openxmlformats.org/officeDocument/2006/relationships/hyperlink" Target="https://www.sec.gov/ix?doc=/Archives/edgar/data/0001819395/000181939523000141/son-20230915.htm" TargetMode="External"/><Relationship Id="rId74" Type="http://schemas.openxmlformats.org/officeDocument/2006/relationships/hyperlink" Target="https://www.sec.gov/ix?doc=/Archives/edgar/data/0001819395/000181939524000079/son-20240930.htm" TargetMode="External"/><Relationship Id="rId75" Type="http://schemas.openxmlformats.org/officeDocument/2006/relationships/hyperlink" Target="https://www.sec.gov/ix?doc=/Archives/edgar/data/0001819395/000181939524000128/son-20241223.htm" TargetMode="External"/><Relationship Id="rId76" Type="http://schemas.openxmlformats.org/officeDocument/2006/relationships/hyperlink" Target="https://www.sec.gov/ix?doc=/Archives/edgar/data/0001819395/000181939524000046/son-20240813.htm" TargetMode="External"/><Relationship Id="rId77" Type="http://schemas.openxmlformats.org/officeDocument/2006/relationships/hyperlink" Target="https://www.sec.gov/ix?doc=/Archives/edgar/data/0001819395/000181939522000170/son-20221130.htm" TargetMode="External"/><Relationship Id="rId78" Type="http://schemas.openxmlformats.org/officeDocument/2006/relationships/hyperlink" Target="https://www.sec.gov/Archives/edgar/data/1819395/000119312520326144/d60940dex43.htm" TargetMode="External"/><Relationship Id="rId79" Type="http://schemas.openxmlformats.org/officeDocument/2006/relationships/hyperlink" Target="https://www.sec.gov/Archives/edgar/data/1819395/000119312521016455/d31698dex41.htm" TargetMode="External"/><Relationship Id="rId80" Type="http://schemas.openxmlformats.org/officeDocument/2006/relationships/hyperlink" Target="https://www.sec.gov/ix?doc=/Archives/edgar/data/0001819395/000162828022001521/son-20220131.htm" TargetMode="External"/><Relationship Id="rId81" Type="http://schemas.openxmlformats.org/officeDocument/2006/relationships/hyperlink" Target="https://www.sec.gov/ix?doc=/Archives/edgar/data/0001819395/000181939524000088/son-20241024.htm" TargetMode="External"/><Relationship Id="rId82" Type="http://schemas.openxmlformats.org/officeDocument/2006/relationships/hyperlink" Target="https://www.sec.gov/ix?doc=/Archives/edgar/data/0001819395/000119312521355588/d193832ds4a.htm#rom193832_6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2025-02-12T15:21:42Z</dcterms:created>
  <dcterms:modified xsi:type="dcterms:W3CDTF">2025-02-12T15:21:42Z</dcterms:modified>
</cp:coreProperties>
</file>