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174625</wp:posOffset>
            </wp:positionV>
            <wp:extent cx="2099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9945"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199390</wp:posOffset>
            </wp:positionV>
            <wp:extent cx="2099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8"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2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October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38735</wp:posOffset>
            </wp:positionV>
            <wp:extent cx="2099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SONDER HOLDINGS INC.</w:t>
      </w:r>
    </w:p>
    <w:p>
      <w:pPr>
        <w:spacing w:after="0" w:line="6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180975</wp:posOffset>
            </wp:positionV>
            <wp:extent cx="2099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480" w:type="dxa"/>
        <w:tblCellMar>
          <w:top w:w="0" w:type="dxa"/>
          <w:left w:w="0" w:type="dxa"/>
          <w:bottom w:w="0" w:type="dxa"/>
          <w:right w:w="0" w:type="dxa"/>
        </w:tblCellMar>
      </w:tblPr>
      <w:tr>
        <w:trPr>
          <w:trHeight w:val="238"/>
        </w:trPr>
        <w:tc>
          <w:tcPr>
            <w:tcW w:w="2340" w:type="dxa"/>
            <w:vAlign w:val="bottom"/>
          </w:tcPr>
          <w:p>
            <w:pPr>
              <w:jc w:val="center"/>
              <w:ind w:right="2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940" w:type="dxa"/>
            <w:vAlign w:val="bottom"/>
          </w:tcPr>
          <w:p>
            <w:pPr>
              <w:jc w:val="center"/>
              <w:ind w:right="204"/>
              <w:spacing w:after="0"/>
              <w:rPr>
                <w:sz w:val="20"/>
                <w:szCs w:val="20"/>
                <w:color w:val="auto"/>
              </w:rPr>
            </w:pPr>
            <w:r>
              <w:rPr>
                <w:rFonts w:ascii="Times New Roman" w:cs="Times New Roman" w:eastAsia="Times New Roman" w:hAnsi="Times New Roman"/>
                <w:sz w:val="18"/>
                <w:szCs w:val="18"/>
                <w:b w:val="1"/>
                <w:bCs w:val="1"/>
                <w:color w:val="auto"/>
                <w:w w:val="99"/>
              </w:rPr>
              <w:t>001-39907</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85-2097088</w:t>
            </w:r>
          </w:p>
        </w:tc>
      </w:tr>
      <w:tr>
        <w:trPr>
          <w:trHeight w:val="182"/>
        </w:trPr>
        <w:tc>
          <w:tcPr>
            <w:tcW w:w="2340" w:type="dxa"/>
            <w:vAlign w:val="bottom"/>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3940" w:type="dxa"/>
            <w:vAlign w:val="bottom"/>
          </w:tcPr>
          <w:p>
            <w:pPr>
              <w:jc w:val="center"/>
              <w:ind w:right="204"/>
              <w:spacing w:after="0"/>
              <w:rPr>
                <w:sz w:val="20"/>
                <w:szCs w:val="20"/>
                <w:color w:val="auto"/>
              </w:rPr>
            </w:pPr>
            <w:r>
              <w:rPr>
                <w:rFonts w:ascii="Times New Roman" w:cs="Times New Roman" w:eastAsia="Times New Roman" w:hAnsi="Times New Roman"/>
                <w:sz w:val="13"/>
                <w:szCs w:val="13"/>
                <w:b w:val="1"/>
                <w:bCs w:val="1"/>
                <w:color w:val="auto"/>
                <w:w w:val="95"/>
              </w:rPr>
              <w:t>(Commission</w:t>
            </w:r>
          </w:p>
        </w:tc>
        <w:tc>
          <w:tcPr>
            <w:tcW w:w="1400" w:type="dxa"/>
            <w:vAlign w:val="bottom"/>
          </w:tcPr>
          <w:p>
            <w:pPr>
              <w:jc w:val="center"/>
              <w:ind w:left="346"/>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340" w:type="dxa"/>
            <w:vAlign w:val="bottom"/>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3940" w:type="dxa"/>
            <w:vAlign w:val="bottom"/>
          </w:tcPr>
          <w:p>
            <w:pPr>
              <w:jc w:val="center"/>
              <w:ind w:right="204"/>
              <w:spacing w:after="0"/>
              <w:rPr>
                <w:sz w:val="20"/>
                <w:szCs w:val="20"/>
                <w:color w:val="auto"/>
              </w:rPr>
            </w:pPr>
            <w:r>
              <w:rPr>
                <w:rFonts w:ascii="Times New Roman" w:cs="Times New Roman" w:eastAsia="Times New Roman" w:hAnsi="Times New Roman"/>
                <w:sz w:val="13"/>
                <w:szCs w:val="13"/>
                <w:b w:val="1"/>
                <w:bCs w:val="1"/>
                <w:color w:val="auto"/>
                <w:w w:val="98"/>
              </w:rPr>
              <w:t>File Number)</w:t>
            </w:r>
          </w:p>
        </w:tc>
        <w:tc>
          <w:tcPr>
            <w:tcW w:w="1400" w:type="dxa"/>
            <w:vAlign w:val="bottom"/>
          </w:tcPr>
          <w:p>
            <w:pPr>
              <w:jc w:val="center"/>
              <w:ind w:left="34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75"/>
        </w:trPr>
        <w:tc>
          <w:tcPr>
            <w:tcW w:w="2340" w:type="dxa"/>
            <w:vAlign w:val="bottom"/>
          </w:tcPr>
          <w:p>
            <w:pPr>
              <w:jc w:val="center"/>
              <w:ind w:right="24"/>
              <w:spacing w:after="0"/>
              <w:rPr>
                <w:sz w:val="20"/>
                <w:szCs w:val="20"/>
                <w:color w:val="auto"/>
              </w:rPr>
            </w:pPr>
            <w:r>
              <w:rPr>
                <w:rFonts w:ascii="Times New Roman" w:cs="Times New Roman" w:eastAsia="Times New Roman" w:hAnsi="Times New Roman"/>
                <w:sz w:val="18"/>
                <w:szCs w:val="18"/>
                <w:b w:val="1"/>
                <w:bCs w:val="1"/>
                <w:color w:val="auto"/>
                <w:w w:val="99"/>
              </w:rPr>
              <w:t>447 Sutter St., Suite 405 #542</w:t>
            </w:r>
          </w:p>
        </w:tc>
        <w:tc>
          <w:tcPr>
            <w:tcW w:w="39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23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San Francisco, California</w:t>
            </w:r>
          </w:p>
        </w:tc>
        <w:tc>
          <w:tcPr>
            <w:tcW w:w="3940" w:type="dxa"/>
            <w:vAlign w:val="bottom"/>
          </w:tcPr>
          <w:p>
            <w:pPr>
              <w:spacing w:after="0"/>
              <w:rPr>
                <w:sz w:val="23"/>
                <w:szCs w:val="23"/>
                <w:color w:val="auto"/>
              </w:rPr>
            </w:pPr>
          </w:p>
        </w:tc>
        <w:tc>
          <w:tcPr>
            <w:tcW w:w="140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94108</w:t>
            </w:r>
          </w:p>
        </w:tc>
      </w:tr>
      <w:tr>
        <w:trPr>
          <w:trHeight w:val="200"/>
        </w:trPr>
        <w:tc>
          <w:tcPr>
            <w:tcW w:w="2340" w:type="dxa"/>
            <w:vAlign w:val="bottom"/>
          </w:tcPr>
          <w:p>
            <w:pPr>
              <w:jc w:val="center"/>
              <w:ind w:right="24"/>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940" w:type="dxa"/>
            <w:vAlign w:val="bottom"/>
          </w:tcPr>
          <w:p>
            <w:pPr>
              <w:spacing w:after="0"/>
              <w:rPr>
                <w:sz w:val="17"/>
                <w:szCs w:val="17"/>
                <w:color w:val="auto"/>
              </w:rPr>
            </w:pPr>
          </w:p>
        </w:tc>
        <w:tc>
          <w:tcPr>
            <w:tcW w:w="1400" w:type="dxa"/>
            <w:vAlign w:val="bottom"/>
          </w:tcPr>
          <w:p>
            <w:pPr>
              <w:jc w:val="center"/>
              <w:ind w:left="3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380"/>
        </w:trPr>
        <w:tc>
          <w:tcPr>
            <w:tcW w:w="2340" w:type="dxa"/>
            <w:vAlign w:val="bottom"/>
          </w:tcPr>
          <w:p>
            <w:pPr>
              <w:spacing w:after="0"/>
              <w:rPr>
                <w:sz w:val="24"/>
                <w:szCs w:val="24"/>
                <w:color w:val="auto"/>
              </w:rPr>
            </w:pPr>
          </w:p>
        </w:tc>
        <w:tc>
          <w:tcPr>
            <w:tcW w:w="3940" w:type="dxa"/>
            <w:vAlign w:val="bottom"/>
          </w:tcPr>
          <w:p>
            <w:pPr>
              <w:jc w:val="right"/>
              <w:ind w:right="1544"/>
              <w:spacing w:after="0"/>
              <w:rPr>
                <w:sz w:val="20"/>
                <w:szCs w:val="20"/>
                <w:color w:val="auto"/>
              </w:rPr>
            </w:pPr>
            <w:r>
              <w:rPr>
                <w:rFonts w:ascii="Times New Roman" w:cs="Times New Roman" w:eastAsia="Times New Roman" w:hAnsi="Times New Roman"/>
                <w:sz w:val="16"/>
                <w:szCs w:val="16"/>
                <w:b w:val="1"/>
                <w:bCs w:val="1"/>
                <w:color w:val="auto"/>
              </w:rPr>
              <w:t>(617) 300-0956</w:t>
            </w:r>
          </w:p>
        </w:tc>
        <w:tc>
          <w:tcPr>
            <w:tcW w:w="140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3940" w:type="dxa"/>
            <w:vAlign w:val="bottom"/>
          </w:tcPr>
          <w:p>
            <w:pPr>
              <w:jc w:val="center"/>
              <w:ind w:right="264"/>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400" w:type="dxa"/>
            <w:vAlign w:val="bottom"/>
          </w:tcPr>
          <w:p>
            <w:pPr>
              <w:spacing w:after="0"/>
              <w:rPr>
                <w:sz w:val="18"/>
                <w:szCs w:val="18"/>
                <w:color w:val="auto"/>
              </w:rPr>
            </w:pPr>
          </w:p>
        </w:tc>
      </w:tr>
    </w:tbl>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172085</wp:posOffset>
            </wp:positionV>
            <wp:extent cx="2099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02" w:lineRule="exact"/>
        <w:rPr>
          <w:sz w:val="24"/>
          <w:szCs w:val="24"/>
          <w:color w:val="auto"/>
        </w:rPr>
      </w:pPr>
    </w:p>
    <w:p>
      <w:pPr>
        <w:ind w:left="340" w:hanging="314"/>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 pursuant to Rule 425 under the Securities Act (17 CFR 230.425)</w:t>
      </w:r>
    </w:p>
    <w:p>
      <w:pPr>
        <w:spacing w:after="0" w:line="180" w:lineRule="exact"/>
        <w:rPr>
          <w:rFonts w:ascii="MS PGothic" w:cs="MS PGothic" w:eastAsia="MS PGothic" w:hAnsi="MS PGothic"/>
          <w:sz w:val="16"/>
          <w:szCs w:val="16"/>
          <w:color w:val="auto"/>
        </w:rPr>
      </w:pPr>
    </w:p>
    <w:p>
      <w:pPr>
        <w:ind w:left="340" w:hanging="314"/>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0" w:lineRule="exact"/>
        <w:rPr>
          <w:rFonts w:ascii="MS PGothic" w:cs="MS PGothic" w:eastAsia="MS PGothic" w:hAnsi="MS PGothic"/>
          <w:sz w:val="16"/>
          <w:szCs w:val="16"/>
          <w:color w:val="auto"/>
        </w:rPr>
      </w:pPr>
    </w:p>
    <w:p>
      <w:pPr>
        <w:ind w:left="340" w:hanging="314"/>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67" w:lineRule="exact"/>
        <w:rPr>
          <w:rFonts w:ascii="MS PGothic" w:cs="MS PGothic" w:eastAsia="MS PGothic" w:hAnsi="MS PGothic"/>
          <w:sz w:val="16"/>
          <w:szCs w:val="16"/>
          <w:color w:val="auto"/>
        </w:rPr>
      </w:pPr>
    </w:p>
    <w:p>
      <w:pPr>
        <w:ind w:left="340" w:hanging="314"/>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40"/>
        </w:trPr>
        <w:tc>
          <w:tcPr>
            <w:tcW w:w="10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1040" w:type="dxa"/>
            <w:vAlign w:val="bottom"/>
          </w:tcPr>
          <w:p>
            <w:pPr>
              <w:spacing w:after="0"/>
              <w:rPr>
                <w:sz w:val="20"/>
                <w:szCs w:val="20"/>
                <w:color w:val="auto"/>
              </w:rPr>
            </w:pPr>
          </w:p>
        </w:tc>
        <w:tc>
          <w:tcPr>
            <w:tcW w:w="3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104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17"/>
        </w:trPr>
        <w:tc>
          <w:tcPr>
            <w:tcW w:w="1040" w:type="dxa"/>
            <w:vAlign w:val="bottom"/>
          </w:tcPr>
          <w:p>
            <w:pPr>
              <w:spacing w:after="0"/>
              <w:rPr>
                <w:sz w:val="18"/>
                <w:szCs w:val="18"/>
                <w:color w:val="auto"/>
              </w:rPr>
            </w:pPr>
          </w:p>
        </w:tc>
        <w:tc>
          <w:tcPr>
            <w:tcW w:w="3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3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SOND</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35"/>
        </w:trPr>
        <w:tc>
          <w:tcPr>
            <w:tcW w:w="1040" w:type="dxa"/>
            <w:vAlign w:val="bottom"/>
          </w:tcPr>
          <w:p>
            <w:pPr>
              <w:spacing w:after="0"/>
              <w:rPr>
                <w:sz w:val="20"/>
                <w:szCs w:val="20"/>
                <w:color w:val="auto"/>
              </w:rPr>
            </w:pPr>
          </w:p>
        </w:tc>
        <w:tc>
          <w:tcPr>
            <w:tcW w:w="3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Warrants, each 20 warrants exercisable for one</w:t>
            </w:r>
          </w:p>
        </w:tc>
        <w:tc>
          <w:tcPr>
            <w:tcW w:w="30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SONDW</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189"/>
        </w:trPr>
        <w:tc>
          <w:tcPr>
            <w:tcW w:w="1040" w:type="dxa"/>
            <w:vAlign w:val="bottom"/>
          </w:tcPr>
          <w:p>
            <w:pPr>
              <w:spacing w:after="0"/>
              <w:rPr>
                <w:sz w:val="16"/>
                <w:szCs w:val="16"/>
                <w:color w:val="auto"/>
              </w:rPr>
            </w:pPr>
          </w:p>
        </w:tc>
        <w:tc>
          <w:tcPr>
            <w:tcW w:w="3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share of Common Stock at an exercise price of</w:t>
            </w:r>
          </w:p>
        </w:tc>
        <w:tc>
          <w:tcPr>
            <w:tcW w:w="2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210"/>
        </w:trPr>
        <w:tc>
          <w:tcPr>
            <w:tcW w:w="1040" w:type="dxa"/>
            <w:vAlign w:val="bottom"/>
          </w:tcPr>
          <w:p>
            <w:pPr>
              <w:spacing w:after="0"/>
              <w:rPr>
                <w:sz w:val="18"/>
                <w:szCs w:val="18"/>
                <w:color w:val="auto"/>
              </w:rPr>
            </w:pPr>
          </w:p>
        </w:tc>
        <w:tc>
          <w:tcPr>
            <w:tcW w:w="3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$230.00 per share</w:t>
            </w:r>
          </w:p>
        </w:tc>
        <w:tc>
          <w:tcPr>
            <w:tcW w:w="2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20" w:type="dxa"/>
            <w:vAlign w:val="bottom"/>
          </w:tcPr>
          <w:p>
            <w:pPr>
              <w:spacing w:after="0"/>
              <w:rPr>
                <w:sz w:val="18"/>
                <w:szCs w:val="18"/>
                <w:color w:val="auto"/>
              </w:rPr>
            </w:pPr>
          </w:p>
        </w:tc>
      </w:tr>
    </w:tbl>
    <w:p>
      <w:pPr>
        <w:spacing w:after="0" w:line="181"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84" w:lineRule="exact"/>
        <w:rPr>
          <w:sz w:val="24"/>
          <w:szCs w:val="24"/>
          <w:color w:val="auto"/>
        </w:rPr>
      </w:pPr>
    </w:p>
    <w:p>
      <w:pPr>
        <w:ind w:right="52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38735</wp:posOffset>
            </wp:positionV>
            <wp:extent cx="71234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234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17145"/>
                    </a:xfrm>
                    <a:prstGeom prst="rect">
                      <a:avLst/>
                    </a:prstGeom>
                    <a:noFill/>
                  </pic:spPr>
                </pic:pic>
              </a:graphicData>
            </a:graphic>
          </wp:anchor>
        </w:drawing>
      </w:r>
    </w:p>
    <w:p>
      <w:pPr>
        <w:sectPr>
          <w:pgSz w:w="11900" w:h="16838" w:orient="portrait"/>
          <w:cols w:equalWidth="0" w:num="1">
            <w:col w:w="11180"/>
          </w:cols>
          <w:pgMar w:left="320" w:top="1178"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October 14, 2025, Sonder Holdings Inc. (the “Company”) issued a press release (the “Press Release”) announcing its financial results for the second quarter ended June 30, 2025. A copy of the Press Release is furnished as Exhibit 99.1 and is incorporated by reference herein.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2.02 and Exhibit 99.1 shall not be deemed “filed” for purposes of Section 18 of the Securities Exchange Act of 1934, as amended (the “Exchange Act”), or otherwise subject to the liabilities of that section, nor shall it be incorporated by reference into any filings of the Company under the Securities Act of 1933, as amended, or the Exchange Act, except as expressly set forth by specific reference in such a filing.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Exhibits</w:t>
            </w:r>
          </w:p>
        </w:tc>
        <w:tc>
          <w:tcPr>
            <w:tcW w:w="8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513"/>
        </w:trPr>
        <w:tc>
          <w:tcPr>
            <w:tcW w:w="216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080" w:type="dxa"/>
            <w:vAlign w:val="bottom"/>
            <w:gridSpan w:val="2"/>
          </w:tcPr>
          <w:p>
            <w:pPr>
              <w:ind w:left="3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2160" w:type="dxa"/>
            <w:vAlign w:val="bottom"/>
          </w:tcPr>
          <w:p>
            <w:pPr>
              <w:spacing w:after="0"/>
              <w:rPr>
                <w:sz w:val="2"/>
                <w:szCs w:val="2"/>
                <w:color w:val="auto"/>
              </w:rPr>
            </w:pPr>
          </w:p>
        </w:tc>
        <w:tc>
          <w:tcPr>
            <w:tcW w:w="824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r>
      <w:tr>
        <w:trPr>
          <w:trHeight w:val="318"/>
        </w:trPr>
        <w:tc>
          <w:tcPr>
            <w:tcW w:w="21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99.1</w:t>
            </w:r>
          </w:p>
        </w:tc>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Press Release dated October 14, 2025</w:t>
            </w:r>
          </w:p>
        </w:tc>
      </w:tr>
      <w:tr>
        <w:trPr>
          <w:trHeight w:val="257"/>
        </w:trPr>
        <w:tc>
          <w:tcPr>
            <w:tcW w:w="21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104</w:t>
            </w:r>
          </w:p>
        </w:tc>
        <w:tc>
          <w:tcPr>
            <w:tcW w:w="9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47"/>
        </w:trPr>
        <w:tc>
          <w:tcPr>
            <w:tcW w:w="2160" w:type="dxa"/>
            <w:vAlign w:val="bottom"/>
            <w:tcBorders>
              <w:bottom w:val="single" w:sz="8" w:color="9A9A9A"/>
            </w:tcBorders>
          </w:tcPr>
          <w:p>
            <w:pPr>
              <w:spacing w:after="0"/>
              <w:rPr>
                <w:sz w:val="24"/>
                <w:szCs w:val="24"/>
                <w:color w:val="auto"/>
              </w:rPr>
            </w:pPr>
          </w:p>
        </w:tc>
        <w:tc>
          <w:tcPr>
            <w:tcW w:w="8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thereunto duly authorized.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38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Sonder Holdings Inc.</w:t>
            </w:r>
          </w:p>
        </w:tc>
      </w:tr>
      <w:tr>
        <w:trPr>
          <w:trHeight w:val="54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14, 2025</w:t>
            </w:r>
          </w:p>
        </w:tc>
        <w:tc>
          <w:tcPr>
            <w:tcW w:w="28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Rahul Thumati</w:t>
            </w:r>
          </w:p>
        </w:tc>
      </w:tr>
      <w:tr>
        <w:trPr>
          <w:trHeight w:val="27"/>
        </w:trPr>
        <w:tc>
          <w:tcPr>
            <w:tcW w:w="38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3800" w:type="dxa"/>
            <w:vAlign w:val="bottom"/>
          </w:tcPr>
          <w:p>
            <w:pPr>
              <w:spacing w:after="0"/>
              <w:rPr>
                <w:sz w:val="20"/>
                <w:szCs w:val="20"/>
                <w:color w:val="auto"/>
              </w:rPr>
            </w:pPr>
          </w:p>
        </w:tc>
        <w:tc>
          <w:tcPr>
            <w:tcW w:w="28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Name:</w:t>
            </w:r>
          </w:p>
        </w:tc>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Rahul Thumati</w:t>
            </w:r>
          </w:p>
        </w:tc>
      </w:tr>
      <w:tr>
        <w:trPr>
          <w:trHeight w:val="270"/>
        </w:trPr>
        <w:tc>
          <w:tcPr>
            <w:tcW w:w="3800" w:type="dxa"/>
            <w:vAlign w:val="bottom"/>
          </w:tcPr>
          <w:p>
            <w:pPr>
              <w:spacing w:after="0"/>
              <w:rPr>
                <w:sz w:val="23"/>
                <w:szCs w:val="23"/>
                <w:color w:val="auto"/>
              </w:rPr>
            </w:pPr>
          </w:p>
        </w:tc>
        <w:tc>
          <w:tcPr>
            <w:tcW w:w="280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Interim Chief Accounting Officer</w:t>
            </w:r>
          </w:p>
        </w:tc>
      </w:tr>
    </w:tbl>
    <w:p>
      <w:pPr>
        <w:sectPr>
          <w:pgSz w:w="11900" w:h="16838" w:orient="portrait"/>
          <w:cols w:equalWidth="0" w:num="1">
            <w:col w:w="11240"/>
          </w:cols>
          <w:pgMar w:left="320" w:top="10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Sonder Holdings Inc. Announces Second Quarter 2025 Financial Results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SAN FRANCISCO – October 14, 2025 – Sonder Holdings Inc. (Nasdaq: SOND) (“Sonder” or the “Company”), a leading global brand of premium, design-forward apartments and intimate boutique hotels serving the modern traveler, today announced its financial results for the second quarter 2025, ended June 30, 2025, and filed the related Quarterly Report on Form 10-Q (the “Q2 2025 Form 10-Q”), which can be found on the Company’s website at investors.sonder.com.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2025 Financial Highlights</w:t>
      </w:r>
      <w:r>
        <w:rPr>
          <w:rFonts w:ascii="Arial" w:cs="Arial" w:eastAsia="Arial" w:hAnsi="Arial"/>
          <w:sz w:val="23"/>
          <w:szCs w:val="23"/>
          <w:b w:val="1"/>
          <w:bCs w:val="1"/>
          <w:color w:val="auto"/>
          <w:vertAlign w:val="superscript"/>
        </w:rPr>
        <w:t>1</w:t>
      </w:r>
    </w:p>
    <w:p>
      <w:pPr>
        <w:spacing w:after="0" w:line="1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RevPAR </w:t>
      </w:r>
      <w:r>
        <w:rPr>
          <w:rFonts w:ascii="Arial" w:cs="Arial" w:eastAsia="Arial" w:hAnsi="Arial"/>
          <w:sz w:val="18"/>
          <w:szCs w:val="18"/>
          <w:color w:val="auto"/>
        </w:rPr>
        <w:t>was $184, a 13% increase year-over-year</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Occupancy Rate </w:t>
      </w:r>
      <w:r>
        <w:rPr>
          <w:rFonts w:ascii="Arial" w:cs="Arial" w:eastAsia="Arial" w:hAnsi="Arial"/>
          <w:sz w:val="18"/>
          <w:szCs w:val="18"/>
          <w:color w:val="auto"/>
        </w:rPr>
        <w:t>was 86%, a six percentage point increase year-over-year</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Bookable Nights </w:t>
      </w:r>
      <w:r>
        <w:rPr>
          <w:rFonts w:ascii="Arial" w:cs="Arial" w:eastAsia="Arial" w:hAnsi="Arial"/>
          <w:sz w:val="18"/>
          <w:szCs w:val="18"/>
          <w:color w:val="auto"/>
        </w:rPr>
        <w:t>were 798,000, a 21% decrease year-over-year, driven by the Company’s Portfolio Optimization Program, as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the Q2 2025 Form 10-Q</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was $147.1 million, a 11% decrease year-over-year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was $44.5 million, a 236% decrease year-over-year</w:t>
      </w:r>
    </w:p>
    <w:p>
      <w:pPr>
        <w:spacing w:after="0" w:line="9" w:lineRule="exact"/>
        <w:rPr>
          <w:rFonts w:ascii="Arial" w:cs="Arial" w:eastAsia="Arial" w:hAnsi="Arial"/>
          <w:sz w:val="18"/>
          <w:szCs w:val="18"/>
          <w:color w:val="auto"/>
        </w:rPr>
      </w:pPr>
    </w:p>
    <w:p>
      <w:pPr>
        <w:ind w:left="660" w:hanging="328"/>
        <w:spacing w:after="0" w:line="19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was $(2.6) million, a 83% increase year-over-year</w:t>
      </w:r>
    </w:p>
    <w:p>
      <w:pPr>
        <w:ind w:left="660" w:hanging="328"/>
        <w:spacing w:after="0" w:line="19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Adjusted EBITDAR</w:t>
      </w:r>
      <w:r>
        <w:rPr>
          <w:rFonts w:ascii="Arial" w:cs="Arial" w:eastAsia="Arial" w:hAnsi="Arial"/>
          <w:sz w:val="23"/>
          <w:szCs w:val="23"/>
          <w:b w:val="1"/>
          <w:bCs w:val="1"/>
          <w:color w:val="auto"/>
          <w:vertAlign w:val="superscript"/>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was $58.6 million, a 1% increase year-over-year</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Cash Used In Operating Activities </w:t>
      </w:r>
      <w:r>
        <w:rPr>
          <w:rFonts w:ascii="Arial" w:cs="Arial" w:eastAsia="Arial" w:hAnsi="Arial"/>
          <w:sz w:val="18"/>
          <w:szCs w:val="18"/>
          <w:color w:val="auto"/>
        </w:rPr>
        <w:t>was $19.6 million, a 40% improvement year-over-year</w:t>
      </w:r>
    </w:p>
    <w:p>
      <w:pPr>
        <w:spacing w:after="0" w:line="9" w:lineRule="exact"/>
        <w:rPr>
          <w:rFonts w:ascii="Arial" w:cs="Arial" w:eastAsia="Arial" w:hAnsi="Arial"/>
          <w:sz w:val="18"/>
          <w:szCs w:val="18"/>
          <w:color w:val="auto"/>
        </w:rPr>
      </w:pPr>
    </w:p>
    <w:p>
      <w:pPr>
        <w:ind w:left="660" w:hanging="328"/>
        <w:spacing w:after="0" w:line="19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Adjusted Free Cash Flow</w:t>
      </w:r>
      <w:r>
        <w:rPr>
          <w:rFonts w:ascii="Arial" w:cs="Arial" w:eastAsia="Arial" w:hAnsi="Arial"/>
          <w:sz w:val="23"/>
          <w:szCs w:val="23"/>
          <w:b w:val="1"/>
          <w:bCs w:val="1"/>
          <w:color w:val="auto"/>
          <w:vertAlign w:val="superscript"/>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was $(17.5) million, a 29% decrease year-over-year</w:t>
      </w:r>
    </w:p>
    <w:p>
      <w:pPr>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Total Cash, Cash Equivalents and Restricted Cash </w:t>
      </w:r>
      <w:r>
        <w:rPr>
          <w:rFonts w:ascii="Arial" w:cs="Arial" w:eastAsia="Arial" w:hAnsi="Arial"/>
          <w:sz w:val="18"/>
          <w:szCs w:val="18"/>
          <w:color w:val="auto"/>
        </w:rPr>
        <w:t>was $71.0 million, which included $43.8 million of restricted cash as of</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2025</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Live Units </w:t>
      </w:r>
      <w:r>
        <w:rPr>
          <w:rFonts w:ascii="Arial" w:cs="Arial" w:eastAsia="Arial" w:hAnsi="Arial"/>
          <w:sz w:val="18"/>
          <w:szCs w:val="18"/>
          <w:color w:val="auto"/>
        </w:rPr>
        <w:t>were approximately 8,300 as of June 30, 2025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Total Portfolio </w:t>
      </w:r>
      <w:r>
        <w:rPr>
          <w:rFonts w:ascii="Arial" w:cs="Arial" w:eastAsia="Arial" w:hAnsi="Arial"/>
          <w:sz w:val="18"/>
          <w:szCs w:val="18"/>
          <w:color w:val="auto"/>
        </w:rPr>
        <w:t>was approximately 8,990 as of June 30, 2025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2025 Year-to-Date Financial Highlights</w:t>
      </w:r>
      <w:r>
        <w:rPr>
          <w:rFonts w:ascii="Arial" w:cs="Arial" w:eastAsia="Arial" w:hAnsi="Arial"/>
          <w:sz w:val="23"/>
          <w:szCs w:val="23"/>
          <w:b w:val="1"/>
          <w:bCs w:val="1"/>
          <w:color w:val="auto"/>
          <w:vertAlign w:val="superscript"/>
        </w:rPr>
        <w:t>2</w:t>
      </w: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RevPAR </w:t>
      </w:r>
      <w:r>
        <w:rPr>
          <w:rFonts w:ascii="Arial" w:cs="Arial" w:eastAsia="Arial" w:hAnsi="Arial"/>
          <w:sz w:val="18"/>
          <w:szCs w:val="18"/>
          <w:color w:val="auto"/>
        </w:rPr>
        <w:t>was $161, a 13% increase year-over-year</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Occupancy Rate </w:t>
      </w:r>
      <w:r>
        <w:rPr>
          <w:rFonts w:ascii="Arial" w:cs="Arial" w:eastAsia="Arial" w:hAnsi="Arial"/>
          <w:sz w:val="18"/>
          <w:szCs w:val="18"/>
          <w:color w:val="auto"/>
        </w:rPr>
        <w:t>was 84%, a seven percentage point increase year-over-year</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Bookable Nights </w:t>
      </w:r>
      <w:r>
        <w:rPr>
          <w:rFonts w:ascii="Arial" w:cs="Arial" w:eastAsia="Arial" w:hAnsi="Arial"/>
          <w:sz w:val="18"/>
          <w:szCs w:val="18"/>
          <w:color w:val="auto"/>
        </w:rPr>
        <w:t>were 1,656,000, a 21% decrease year-over-year, driven by the Company’s Portfolio Optimization Program, as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the Q2 2025 Form 10-Q</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was $265.9 million, a 11% decrease year-over-year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was $101.0 million, a 469% decrease year-over-year</w:t>
      </w:r>
    </w:p>
    <w:p>
      <w:pPr>
        <w:spacing w:after="0" w:line="9" w:lineRule="exact"/>
        <w:rPr>
          <w:rFonts w:ascii="Arial" w:cs="Arial" w:eastAsia="Arial" w:hAnsi="Arial"/>
          <w:sz w:val="18"/>
          <w:szCs w:val="18"/>
          <w:color w:val="auto"/>
        </w:rPr>
      </w:pPr>
    </w:p>
    <w:p>
      <w:pPr>
        <w:ind w:left="660" w:hanging="328"/>
        <w:spacing w:after="0" w:line="19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was $(59.3) million, a (20.3)% increase year-over-year</w:t>
      </w:r>
    </w:p>
    <w:p>
      <w:pPr>
        <w:ind w:left="660" w:hanging="328"/>
        <w:spacing w:after="0" w:line="19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Adjusted EBITDAR</w:t>
      </w:r>
      <w:r>
        <w:rPr>
          <w:rFonts w:ascii="Arial" w:cs="Arial" w:eastAsia="Arial" w:hAnsi="Arial"/>
          <w:sz w:val="23"/>
          <w:szCs w:val="23"/>
          <w:b w:val="1"/>
          <w:bCs w:val="1"/>
          <w:color w:val="auto"/>
          <w:vertAlign w:val="superscript"/>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was $79.8 million, a 5% decrease year-over-year</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Cash Used In Operating Activities </w:t>
      </w:r>
      <w:r>
        <w:rPr>
          <w:rFonts w:ascii="Arial" w:cs="Arial" w:eastAsia="Arial" w:hAnsi="Arial"/>
          <w:sz w:val="18"/>
          <w:szCs w:val="18"/>
          <w:color w:val="auto"/>
        </w:rPr>
        <w:t>was $24.0 million, an 67% improvement year-over-year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Adjusted Free Cash Flow</w:t>
      </w:r>
      <w:r>
        <w:rPr>
          <w:rFonts w:ascii="Arial" w:cs="Arial" w:eastAsia="Arial" w:hAnsi="Arial"/>
          <w:sz w:val="23"/>
          <w:szCs w:val="23"/>
          <w:b w:val="1"/>
          <w:bCs w:val="1"/>
          <w:color w:val="auto"/>
          <w:vertAlign w:val="superscript"/>
        </w:rPr>
        <w:t>3</w:t>
      </w:r>
      <w:r>
        <w:rPr>
          <w:rFonts w:ascii="Arial" w:cs="Arial" w:eastAsia="Arial" w:hAnsi="Arial"/>
          <w:sz w:val="18"/>
          <w:szCs w:val="18"/>
          <w:b w:val="1"/>
          <w:bCs w:val="1"/>
          <w:color w:val="auto"/>
        </w:rPr>
        <w:t xml:space="preserve"> </w:t>
      </w:r>
      <w:r>
        <w:rPr>
          <w:rFonts w:ascii="Arial" w:cs="Arial" w:eastAsia="Arial" w:hAnsi="Arial"/>
          <w:sz w:val="18"/>
          <w:szCs w:val="18"/>
          <w:color w:val="auto"/>
        </w:rPr>
        <w:t>was $(24.4) million, a 54.2% decrease year-over-year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Strategic Licensing Agreement with Marriott International</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Sonder entered into a long-term strategic licensing agreement with Marriott International, Inc. (“Marriott”) in August 2024 and completed the full Marriott integration in the second quarter of 2025. As of June 2025, all Sonder properties are available for booking on Marriott’s digital channels and platform, including Marriott.com and the Marriott Bonvoy® mobile app under the new “Sonder by Marriott Bonvoy” collection. Sonder’s properties also participate in the Marriott Bonvoy® travel platform.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Sonder</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Sonder (NASDAQ: SOND) is a leading global brand of premium, design-forward apartments and intimate boutique hotels serving the modern traveler. Launched in 2014, Sonder offers inspiring, thoughtfully designed accommodations and innovative, tech-enabled service combined into one seamless experience. Sonder properties are found in prime locations in 37 cities, spanning nine countries, and three continents.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visit </w:t>
      </w:r>
      <w:r>
        <w:rPr>
          <w:rFonts w:ascii="Arial" w:cs="Arial" w:eastAsia="Arial" w:hAnsi="Arial"/>
          <w:sz w:val="18"/>
          <w:szCs w:val="18"/>
          <w:color w:val="1155CC"/>
        </w:rPr>
        <w:t>http://www.sonder.com</w:t>
      </w:r>
      <w:r>
        <w:rPr>
          <w:rFonts w:ascii="Arial" w:cs="Arial" w:eastAsia="Arial" w:hAnsi="Arial"/>
          <w:sz w:val="18"/>
          <w:szCs w:val="18"/>
          <w:color w:val="auto"/>
        </w:rPr>
        <w:t xml:space="preserve"> or follow Sonder on </w:t>
      </w:r>
      <w:r>
        <w:rPr>
          <w:rFonts w:ascii="Arial" w:cs="Arial" w:eastAsia="Arial" w:hAnsi="Arial"/>
          <w:sz w:val="18"/>
          <w:szCs w:val="18"/>
          <w:color w:val="1155CC"/>
        </w:rPr>
        <w:t>Instagram</w:t>
      </w:r>
      <w:r>
        <w:rPr>
          <w:rFonts w:ascii="Arial" w:cs="Arial" w:eastAsia="Arial" w:hAnsi="Arial"/>
          <w:sz w:val="18"/>
          <w:szCs w:val="18"/>
          <w:color w:val="auto"/>
        </w:rPr>
        <w:t xml:space="preserve">, </w:t>
      </w:r>
      <w:r>
        <w:rPr>
          <w:rFonts w:ascii="Arial" w:cs="Arial" w:eastAsia="Arial" w:hAnsi="Arial"/>
          <w:sz w:val="18"/>
          <w:szCs w:val="18"/>
          <w:color w:val="1155CC"/>
        </w:rPr>
        <w:t>LinkedIn</w:t>
      </w:r>
      <w:r>
        <w:rPr>
          <w:rFonts w:ascii="Arial" w:cs="Arial" w:eastAsia="Arial" w:hAnsi="Arial"/>
          <w:sz w:val="18"/>
          <w:szCs w:val="18"/>
          <w:color w:val="auto"/>
        </w:rPr>
        <w:t xml:space="preserve"> or </w:t>
      </w:r>
      <w:r>
        <w:rPr>
          <w:rFonts w:ascii="Arial" w:cs="Arial" w:eastAsia="Arial" w:hAnsi="Arial"/>
          <w:sz w:val="18"/>
          <w:szCs w:val="18"/>
          <w:color w:val="1155CC"/>
        </w:rPr>
        <w:t>X</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Download the Sonder app on </w:t>
      </w:r>
      <w:r>
        <w:rPr>
          <w:rFonts w:ascii="Arial" w:cs="Arial" w:eastAsia="Arial" w:hAnsi="Arial"/>
          <w:sz w:val="18"/>
          <w:szCs w:val="18"/>
          <w:color w:val="1155CC"/>
        </w:rPr>
        <w:t>Apple</w:t>
      </w:r>
      <w:r>
        <w:rPr>
          <w:rFonts w:ascii="Arial" w:cs="Arial" w:eastAsia="Arial" w:hAnsi="Arial"/>
          <w:sz w:val="18"/>
          <w:szCs w:val="18"/>
          <w:color w:val="auto"/>
        </w:rPr>
        <w:t xml:space="preserve"> or </w:t>
      </w:r>
      <w:r>
        <w:rPr>
          <w:rFonts w:ascii="Arial" w:cs="Arial" w:eastAsia="Arial" w:hAnsi="Arial"/>
          <w:sz w:val="18"/>
          <w:szCs w:val="18"/>
          <w:color w:val="1155CC"/>
        </w:rPr>
        <w:t>Google Play</w:t>
      </w:r>
      <w:r>
        <w:rPr>
          <w:rFonts w:ascii="Arial" w:cs="Arial" w:eastAsia="Arial" w:hAnsi="Arial"/>
          <w:sz w:val="18"/>
          <w:szCs w:val="18"/>
          <w:color w:val="auto"/>
        </w:rPr>
        <w:t>.</w:t>
      </w:r>
    </w:p>
    <w:p>
      <w:pPr>
        <w:spacing w:after="0" w:line="200" w:lineRule="exact"/>
        <w:rPr>
          <w:sz w:val="20"/>
          <w:szCs w:val="20"/>
          <w:color w:val="auto"/>
        </w:rPr>
      </w:pPr>
    </w:p>
    <w:p>
      <w:pPr>
        <w:spacing w:after="0" w:line="318" w:lineRule="exact"/>
        <w:rPr>
          <w:sz w:val="20"/>
          <w:szCs w:val="20"/>
          <w:color w:val="auto"/>
        </w:rPr>
      </w:pPr>
    </w:p>
    <w:p>
      <w:pPr>
        <w:ind w:right="180" w:firstLine="8"/>
        <w:spacing w:after="0" w:line="272" w:lineRule="auto"/>
        <w:tabs>
          <w:tab w:leader="none" w:pos="92" w:val="left"/>
        </w:tabs>
        <w:numPr>
          <w:ilvl w:val="0"/>
          <w:numId w:val="4"/>
        </w:numPr>
        <w:rPr>
          <w:rFonts w:ascii="Arial" w:cs="Arial" w:eastAsia="Arial" w:hAnsi="Arial"/>
          <w:sz w:val="9"/>
          <w:szCs w:val="9"/>
          <w:color w:val="auto"/>
        </w:rPr>
      </w:pPr>
      <w:r>
        <w:rPr>
          <w:rFonts w:ascii="Arial" w:cs="Arial" w:eastAsia="Arial" w:hAnsi="Arial"/>
          <w:sz w:val="14"/>
          <w:szCs w:val="14"/>
          <w:color w:val="auto"/>
        </w:rPr>
        <w:t>$ figures represent metrics for the three months ended June 30, 2025, except where otherwise noted. % figures represent year-over-year growth for the three months ended June 30, 2025 compared to the three months ended June 30, 2024.</w:t>
      </w:r>
    </w:p>
    <w:p>
      <w:pPr>
        <w:ind w:right="140"/>
        <w:spacing w:after="0" w:line="228" w:lineRule="auto"/>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 figures represent metrics for the six months ended June 30, 2025, except where otherwise noted. % figures represent year-over-year growth for the six months ended June 30, 2025 compared to the six months ended June 30, 2024.</w:t>
      </w:r>
    </w:p>
    <w:p>
      <w:pPr>
        <w:spacing w:after="0" w:line="1" w:lineRule="exact"/>
        <w:rPr>
          <w:rFonts w:ascii="Arial" w:cs="Arial" w:eastAsia="Arial" w:hAnsi="Arial"/>
          <w:sz w:val="9"/>
          <w:szCs w:val="9"/>
          <w:color w:val="auto"/>
        </w:rPr>
      </w:pPr>
    </w:p>
    <w:p>
      <w:pPr>
        <w:ind w:right="240"/>
        <w:spacing w:after="0" w:line="220" w:lineRule="auto"/>
        <w:rPr>
          <w:rFonts w:ascii="Arial" w:cs="Arial" w:eastAsia="Arial" w:hAnsi="Arial"/>
          <w:sz w:val="9"/>
          <w:szCs w:val="9"/>
          <w:color w:val="auto"/>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Adjusted EBITDA, Adjusted EBITDAR, and Adjusted Free Cash Flow are non-GAAP financial measures. See “Non-GAAP Financial Measures” for additional information on non-GAAP financial measures and a reconciliation to the most comparable GAAP measures.</w:t>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SONDER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June 30, 2025</w:t>
            </w:r>
          </w:p>
        </w:tc>
        <w:tc>
          <w:tcPr>
            <w:tcW w:w="22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20,786</w:t>
            </w:r>
          </w:p>
        </w:tc>
      </w:tr>
      <w:tr>
        <w:trPr>
          <w:trHeight w:val="230"/>
        </w:trPr>
        <w:tc>
          <w:tcPr>
            <w:tcW w:w="7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51,268</w:t>
            </w:r>
          </w:p>
        </w:tc>
      </w:tr>
      <w:tr>
        <w:trPr>
          <w:trHeight w:val="223"/>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72,054</w:t>
            </w:r>
          </w:p>
        </w:tc>
      </w:tr>
      <w:tr>
        <w:trPr>
          <w:trHeight w:val="230"/>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13,918</w:t>
            </w:r>
          </w:p>
        </w:tc>
      </w:tr>
      <w:tr>
        <w:trPr>
          <w:trHeight w:val="229"/>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r>
      <w:tr>
        <w:trPr>
          <w:trHeight w:val="229"/>
        </w:trPr>
        <w:tc>
          <w:tcPr>
            <w:tcW w:w="7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9,733</w:t>
            </w:r>
          </w:p>
        </w:tc>
      </w:tr>
      <w:tr>
        <w:trPr>
          <w:trHeight w:val="223"/>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99,846</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(“ROU”) assets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1,013,854</w:t>
            </w:r>
          </w:p>
        </w:tc>
      </w:tr>
      <w:tr>
        <w:trPr>
          <w:trHeight w:val="22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17,544</w:t>
            </w:r>
          </w:p>
        </w:tc>
      </w:tr>
      <w:tr>
        <w:trPr>
          <w:trHeight w:val="248"/>
        </w:trPr>
        <w:tc>
          <w:tcPr>
            <w:tcW w:w="71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1,004,807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1,137,177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33,724</w:t>
            </w:r>
          </w:p>
        </w:tc>
      </w:tr>
      <w:tr>
        <w:trPr>
          <w:trHeight w:val="230"/>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32,621</w:t>
            </w:r>
          </w:p>
        </w:tc>
      </w:t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Taxes payable</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22,224</w:t>
            </w:r>
          </w:p>
        </w:tc>
      </w:tr>
      <w:tr>
        <w:trPr>
          <w:trHeight w:val="230"/>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71,729</w:t>
            </w:r>
          </w:p>
        </w:tc>
      </w:tr>
      <w:tr>
        <w:trPr>
          <w:trHeight w:val="229"/>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r>
      <w:tr>
        <w:trPr>
          <w:trHeight w:val="230"/>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162,349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171,736</w:t>
            </w:r>
          </w:p>
        </w:tc>
      </w:tr>
      <w:tr>
        <w:trPr>
          <w:trHeight w:val="223"/>
        </w:trPr>
        <w:tc>
          <w:tcPr>
            <w:tcW w:w="7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388,152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338,547</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1,009,169</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217,236</w:t>
            </w: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r>
      <w:tr>
        <w:trPr>
          <w:trHeight w:val="223"/>
        </w:trPr>
        <w:tc>
          <w:tcPr>
            <w:tcW w:w="7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1,490,032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1,573,065</w:t>
            </w:r>
          </w:p>
        </w:tc>
      </w:tr>
      <w:tr>
        <w:trPr>
          <w:trHeight w:val="196"/>
        </w:trPr>
        <w:tc>
          <w:tcPr>
            <w:tcW w:w="7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Mezzanine equity:</w:t>
            </w:r>
          </w:p>
        </w:tc>
        <w:tc>
          <w:tcPr>
            <w:tcW w:w="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redeemable convertible preferred stock</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162,907</w:t>
            </w:r>
          </w:p>
        </w:tc>
      </w:tr>
      <w:tr>
        <w:trPr>
          <w:trHeight w:val="216"/>
        </w:trPr>
        <w:tc>
          <w:tcPr>
            <w:tcW w:w="7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971,552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977,112</w:t>
            </w:r>
          </w:p>
        </w:tc>
      </w:tr>
      <w:tr>
        <w:trPr>
          <w:trHeight w:val="230"/>
        </w:trPr>
        <w:tc>
          <w:tcPr>
            <w:tcW w:w="7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w:t>
            </w:r>
          </w:p>
        </w:tc>
      </w:tr>
      <w:tr>
        <w:trPr>
          <w:trHeight w:val="230"/>
        </w:trPr>
        <w:tc>
          <w:tcPr>
            <w:tcW w:w="7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(1,684,286)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(1,583,268)</w:t>
            </w:r>
          </w:p>
        </w:tc>
      </w:tr>
      <w:tr>
        <w:trPr>
          <w:trHeight w:val="223"/>
        </w:trPr>
        <w:tc>
          <w:tcPr>
            <w:tcW w:w="7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(715,437)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(598,795)</w:t>
            </w:r>
          </w:p>
        </w:tc>
      </w:tr>
      <w:tr>
        <w:trPr>
          <w:trHeight w:val="248"/>
        </w:trPr>
        <w:tc>
          <w:tcPr>
            <w:tcW w:w="71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1,004,807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1,137,177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SONDER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00" w:type="dxa"/>
            <w:vAlign w:val="bottom"/>
          </w:tcPr>
          <w:p>
            <w:pPr>
              <w:spacing w:after="0"/>
              <w:rPr>
                <w:sz w:val="20"/>
                <w:szCs w:val="20"/>
                <w:color w:val="auto"/>
              </w:rPr>
            </w:pPr>
          </w:p>
        </w:tc>
        <w:tc>
          <w:tcPr>
            <w:tcW w:w="26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52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298,080</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195,015</w:t>
            </w:r>
          </w:p>
        </w:tc>
      </w:tr>
      <w:tr>
        <w:trPr>
          <w:trHeight w:val="229"/>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Operations and support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96,391</w:t>
            </w:r>
          </w:p>
        </w:tc>
      </w:tr>
      <w:tr>
        <w:trPr>
          <w:trHeight w:val="230"/>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53,557</w:t>
            </w:r>
          </w:p>
        </w:tc>
      </w:tr>
      <w:tr>
        <w:trPr>
          <w:trHeight w:val="229"/>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w:t>
            </w:r>
          </w:p>
        </w:tc>
      </w:tr>
      <w:tr>
        <w:trPr>
          <w:trHeight w:val="229"/>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40,821</w:t>
            </w:r>
          </w:p>
        </w:tc>
      </w:tr>
      <w:tr>
        <w:trPr>
          <w:trHeight w:val="243"/>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Integration costs</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r>
      <w:tr>
        <w:trPr>
          <w:trHeight w:val="223"/>
        </w:trPr>
        <w:tc>
          <w:tcPr>
            <w:tcW w:w="5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153,965</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196,300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336,462</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397,440</w:t>
            </w:r>
          </w:p>
        </w:tc>
      </w:tr>
      <w:tr>
        <w:trPr>
          <w:trHeight w:val="223"/>
        </w:trPr>
        <w:tc>
          <w:tcPr>
            <w:tcW w:w="5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(99,360)</w:t>
            </w:r>
          </w:p>
        </w:tc>
      </w:tr>
      <w:tr>
        <w:trPr>
          <w:trHeight w:val="270"/>
        </w:trPr>
        <w:tc>
          <w:tcPr>
            <w:tcW w:w="5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15,339</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adjustment gains,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(95,024)</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preferred stock issuance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w:t>
            </w:r>
          </w:p>
        </w:tc>
      </w:tr>
      <w:tr>
        <w:trPr>
          <w:trHeight w:val="223"/>
        </w:trPr>
        <w:tc>
          <w:tcPr>
            <w:tcW w:w="5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non-operating expense (income),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(82,044)</w:t>
            </w:r>
          </w:p>
        </w:tc>
      </w:tr>
      <w:tr>
        <w:trPr>
          <w:trHeight w:val="22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(17,316)</w:t>
            </w:r>
          </w:p>
        </w:tc>
      </w:tr>
      <w:tr>
        <w:trPr>
          <w:trHeight w:val="223"/>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(44,523)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(101,018)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(17,740)</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5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(loss) per common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70"/>
        </w:trPr>
        <w:tc>
          <w:tcPr>
            <w:tcW w:w="52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(17,740)</w:t>
            </w:r>
          </w:p>
        </w:tc>
      </w:tr>
      <w:tr>
        <w:trPr>
          <w:trHeight w:val="230"/>
        </w:trPr>
        <w:tc>
          <w:tcPr>
            <w:tcW w:w="5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(16,934)</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13" w:right="339" w:bottom="1440" w:gutter="0" w:footer="0" w:header="0"/>
        </w:sectPr>
      </w:pPr>
    </w:p>
    <w:bookmarkStart w:id="6" w:name="page7"/>
    <w:bookmarkEnd w:id="6"/>
    <w:p>
      <w:pPr>
        <w:jc w:val="center"/>
        <w:ind w:left="340" w:right="242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SONDER HOLDINGS INC. AND SUBSIDIARIES CONDENSED CONSOLIDATED STATEMENTS OF CASH FLOWS (Unaudited) </w:t>
      </w:r>
      <w:r>
        <w:rPr>
          <w:rFonts w:ascii="Times New Roman" w:cs="Times New Roman" w:eastAsia="Times New Roman" w:hAnsi="Times New Roman"/>
          <w:sz w:val="18"/>
          <w:szCs w:val="18"/>
          <w:i w:val="1"/>
          <w:i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p>
        </w:tc>
        <w:tc>
          <w:tcPr>
            <w:tcW w:w="358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Six months ended June 30,</w:t>
            </w:r>
          </w:p>
        </w:tc>
        <w:tc>
          <w:tcPr>
            <w:tcW w:w="820" w:type="dxa"/>
            <w:vAlign w:val="bottom"/>
            <w:tcBorders>
              <w:bottom w:val="single" w:sz="8" w:color="auto"/>
            </w:tcBorders>
          </w:tcPr>
          <w:p>
            <w:pPr>
              <w:spacing w:after="0"/>
              <w:rPr>
                <w:sz w:val="20"/>
                <w:szCs w:val="20"/>
                <w:color w:val="auto"/>
              </w:rPr>
            </w:pPr>
          </w:p>
        </w:tc>
      </w:tr>
      <w:tr>
        <w:trPr>
          <w:trHeight w:val="223"/>
        </w:trPr>
        <w:tc>
          <w:tcPr>
            <w:tcW w:w="684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20" w:type="dxa"/>
            <w:vAlign w:val="bottom"/>
            <w:tcBorders>
              <w:bottom w:val="single" w:sz="8" w:color="auto"/>
            </w:tcBorders>
          </w:tcPr>
          <w:p>
            <w:pPr>
              <w:spacing w:after="0"/>
              <w:rPr>
                <w:sz w:val="19"/>
                <w:szCs w:val="19"/>
                <w:color w:val="auto"/>
              </w:rPr>
            </w:pPr>
          </w:p>
        </w:tc>
      </w:tr>
      <w:tr>
        <w:trPr>
          <w:trHeight w:val="21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(101,018)</w:t>
            </w:r>
          </w:p>
        </w:tc>
        <w:tc>
          <w:tcPr>
            <w:tcW w:w="100" w:type="dxa"/>
            <w:vAlign w:val="bottom"/>
          </w:tcPr>
          <w:p>
            <w:pPr>
              <w:spacing w:after="0"/>
              <w:rPr>
                <w:sz w:val="19"/>
                <w:szCs w:val="19"/>
                <w:color w:val="auto"/>
              </w:rPr>
            </w:pP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(17,740)</w:t>
            </w:r>
          </w:p>
        </w:tc>
      </w:tr>
      <w:tr>
        <w:trPr>
          <w:trHeight w:val="230"/>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4,586</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9,965</w:t>
            </w:r>
          </w:p>
        </w:tc>
      </w:tr>
      <w:tr>
        <w:trPr>
          <w:trHeight w:val="229"/>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w:t>
            </w:r>
          </w:p>
        </w:tc>
      </w:tr>
      <w:tr>
        <w:trPr>
          <w:trHeight w:val="230"/>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ROU assets</w:t>
            </w: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64,845</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89,252</w:t>
            </w:r>
          </w:p>
        </w:tc>
      </w:tr>
      <w:tr>
        <w:trPr>
          <w:trHeight w:val="229"/>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adjustment gains, net</w:t>
            </w:r>
          </w:p>
        </w:tc>
        <w:tc>
          <w:tcPr>
            <w:tcW w:w="1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(95,024)</w:t>
            </w:r>
          </w:p>
        </w:tc>
      </w:tr>
      <w:tr>
        <w:trPr>
          <w:trHeight w:val="229"/>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foreign exchange</w:t>
            </w: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30"/>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Capitalization of paid-in-kind interest on long-term debt</w:t>
            </w:r>
          </w:p>
        </w:tc>
        <w:tc>
          <w:tcPr>
            <w:tcW w:w="1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13,385</w:t>
            </w:r>
          </w:p>
        </w:tc>
      </w:tr>
      <w:tr>
        <w:trPr>
          <w:trHeight w:val="229"/>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Credit loss expense</w:t>
            </w: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30"/>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discounts/premium and issuance costs</w:t>
            </w:r>
          </w:p>
        </w:tc>
        <w:tc>
          <w:tcPr>
            <w:tcW w:w="1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r>
      <w:tr>
        <w:trPr>
          <w:trHeight w:val="229"/>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preferred stock issuance</w:t>
            </w: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43,842</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non-cash activities</w:t>
            </w:r>
          </w:p>
        </w:tc>
        <w:tc>
          <w:tcPr>
            <w:tcW w:w="1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30"/>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w:t>
            </w:r>
          </w:p>
        </w:tc>
        <w:tc>
          <w:tcPr>
            <w:tcW w:w="1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1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r>
      <w:tr>
        <w:trPr>
          <w:trHeight w:val="230"/>
        </w:trPr>
        <w:tc>
          <w:tcPr>
            <w:tcW w:w="6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w:t>
            </w: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9"/>
        </w:trPr>
        <w:tc>
          <w:tcPr>
            <w:tcW w:w="6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30"/>
        </w:trPr>
        <w:tc>
          <w:tcPr>
            <w:tcW w:w="6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13,959</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w:t>
            </w:r>
          </w:p>
        </w:tc>
      </w:tr>
      <w:tr>
        <w:trPr>
          <w:trHeight w:val="229"/>
        </w:trPr>
        <w:tc>
          <w:tcPr>
            <w:tcW w:w="6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Accrued liabilities</w:t>
            </w:r>
          </w:p>
        </w:tc>
        <w:tc>
          <w:tcPr>
            <w:tcW w:w="1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30"/>
        </w:trPr>
        <w:tc>
          <w:tcPr>
            <w:tcW w:w="6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Taxes payable</w:t>
            </w: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r>
      <w:tr>
        <w:trPr>
          <w:trHeight w:val="230"/>
        </w:trPr>
        <w:tc>
          <w:tcPr>
            <w:tcW w:w="6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w:t>
            </w:r>
          </w:p>
        </w:tc>
      </w:tr>
      <w:tr>
        <w:trPr>
          <w:trHeight w:val="230"/>
        </w:trPr>
        <w:tc>
          <w:tcPr>
            <w:tcW w:w="6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lease ROU assets and operating lease liabilities, net</w:t>
            </w: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(69,831)</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(103,560)</w:t>
            </w:r>
          </w:p>
        </w:tc>
      </w:tr>
      <w:tr>
        <w:trPr>
          <w:trHeight w:val="229"/>
        </w:trPr>
        <w:tc>
          <w:tcPr>
            <w:tcW w:w="6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1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3"/>
        </w:trPr>
        <w:tc>
          <w:tcPr>
            <w:tcW w:w="68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(73,087)</w:t>
            </w:r>
          </w:p>
        </w:tc>
      </w:tr>
      <w:tr>
        <w:trPr>
          <w:trHeight w:val="20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r>
      <w:tr>
        <w:trPr>
          <w:trHeight w:val="230"/>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on the disposition of property and equipment</w:t>
            </w:r>
          </w:p>
        </w:tc>
        <w:tc>
          <w:tcPr>
            <w:tcW w:w="1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of key money investment</w:t>
            </w: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Capitalization of internal-use software</w:t>
            </w:r>
          </w:p>
        </w:tc>
        <w:tc>
          <w:tcPr>
            <w:tcW w:w="1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68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10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w:t>
            </w:r>
          </w:p>
        </w:tc>
      </w:tr>
      <w:tr>
        <w:trPr>
          <w:trHeight w:val="21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debt</w:t>
            </w: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30"/>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debt financing</w:t>
            </w:r>
          </w:p>
        </w:tc>
        <w:tc>
          <w:tcPr>
            <w:tcW w:w="1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3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30"/>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preferred stock issuance</w:t>
            </w:r>
          </w:p>
        </w:tc>
        <w:tc>
          <w:tcPr>
            <w:tcW w:w="1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17,980</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8,917</w:t>
            </w: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foreign exchange on cash</w:t>
            </w:r>
          </w:p>
        </w:tc>
        <w:tc>
          <w:tcPr>
            <w:tcW w:w="1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r>
      <w:tr>
        <w:trPr>
          <w:trHeight w:val="22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(67,374)</w:t>
            </w:r>
          </w:p>
        </w:tc>
      </w:tr>
      <w:tr>
        <w:trPr>
          <w:trHeight w:val="22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1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72,054</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136,497</w:t>
            </w:r>
          </w:p>
        </w:tc>
      </w:tr>
      <w:tr>
        <w:trPr>
          <w:trHeight w:val="22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134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70,958</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69,123</w:t>
            </w:r>
          </w:p>
        </w:tc>
      </w:tr>
      <w:tr>
        <w:trPr>
          <w:trHeight w:val="21"/>
        </w:trPr>
        <w:tc>
          <w:tcPr>
            <w:tcW w:w="68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1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SONDER HOLDINGS INC. AND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r>
        <w:rPr>
          <w:rFonts w:ascii="Times New Roman" w:cs="Times New Roman" w:eastAsia="Times New Roman" w:hAnsi="Times New Roman"/>
          <w:sz w:val="23"/>
          <w:szCs w:val="23"/>
          <w:b w:val="1"/>
          <w:bCs w:val="1"/>
          <w:color w:val="auto"/>
          <w:vertAlign w:val="superscript"/>
        </w:rPr>
        <w:t>(1)</w:t>
      </w:r>
    </w:p>
    <w:p>
      <w:pPr>
        <w:spacing w:after="0" w:line="18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Reconciliation of Non-GAAP Financial Measure: Reconciliation of Cash Used in Operating Activities to Adjusted Free Cash Flow (“Adjusted FCF”)</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vMerge w:val="continue"/>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(19,618)</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(32,778)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(23,971)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(73,087)</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6,256</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(1,493)</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5,297</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(2,209)</w:t>
            </w:r>
          </w:p>
        </w:tc>
        <w:tc>
          <w:tcPr>
            <w:tcW w:w="0" w:type="dxa"/>
            <w:vAlign w:val="bottom"/>
          </w:tcPr>
          <w:p>
            <w:pPr>
              <w:spacing w:after="0"/>
              <w:rPr>
                <w:sz w:val="1"/>
                <w:szCs w:val="1"/>
                <w:color w:val="auto"/>
              </w:rPr>
            </w:pPr>
          </w:p>
        </w:tc>
      </w:tr>
      <w:tr>
        <w:trPr>
          <w:trHeight w:val="155"/>
        </w:trPr>
        <w:tc>
          <w:tcPr>
            <w:tcW w:w="5080" w:type="dxa"/>
            <w:vAlign w:val="bottom"/>
            <w:shd w:val="clear" w:color="auto" w:fill="CCEEFF"/>
          </w:tcPr>
          <w:p>
            <w:pPr>
              <w:ind w:left="180"/>
              <w:spacing w:after="0" w:line="156" w:lineRule="exact"/>
              <w:rPr>
                <w:sz w:val="20"/>
                <w:szCs w:val="20"/>
                <w:color w:val="auto"/>
              </w:rPr>
            </w:pPr>
            <w:r>
              <w:rPr>
                <w:rFonts w:ascii="Times New Roman" w:cs="Times New Roman" w:eastAsia="Times New Roman" w:hAnsi="Times New Roman"/>
                <w:sz w:val="18"/>
                <w:szCs w:val="18"/>
                <w:color w:val="auto"/>
              </w:rPr>
              <w:t>FCF, including cash paid for lease terminations, restructuring, and</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(13,362)</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(34,271)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(18,674)</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(75,296)</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from key money investment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for lease terminations</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(3,750)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lease termination costs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12,769</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restructuring costs</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2,693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2,439</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non-recurring professional fees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6,877</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integration costs</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FCF</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(17,493)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(24,692)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(24,351)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(53,211)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24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8"/>
                <w:szCs w:val="18"/>
                <w:b w:val="1"/>
                <w:bCs w:val="1"/>
                <w:color w:val="auto"/>
                <w:w w:val="99"/>
              </w:rPr>
              <w:t>Reconciliation of Non-GAAP Financial Measure: Reconciliation of Net Income (Loss) to Adjusted EBITDA</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11"/>
          </w:tcPr>
          <w:p>
            <w:pPr>
              <w:ind w:left="20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7"/>
          </w:tcPr>
          <w:p>
            <w:pPr>
              <w:ind w:left="200"/>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83"/>
        </w:trPr>
        <w:tc>
          <w:tcPr>
            <w:tcW w:w="50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Net income (loss)</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(44,523)</w:t>
            </w:r>
          </w:p>
        </w:tc>
        <w:tc>
          <w:tcPr>
            <w:tcW w:w="60" w:type="dxa"/>
            <w:vAlign w:val="bottom"/>
            <w:shd w:val="clear" w:color="auto" w:fill="CCEEFF"/>
          </w:tcPr>
          <w:p>
            <w:pPr>
              <w:spacing w:after="0"/>
              <w:rPr>
                <w:sz w:val="15"/>
                <w:szCs w:val="15"/>
                <w:color w:val="auto"/>
              </w:rPr>
            </w:pPr>
          </w:p>
        </w:tc>
        <w:tc>
          <w:tcPr>
            <w:tcW w:w="40" w:type="dxa"/>
            <w:vAlign w:val="bottom"/>
            <w:gridSpan w:val="2"/>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32,747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(101,018)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(17,740)</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15,339</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189"/>
        </w:trPr>
        <w:tc>
          <w:tcPr>
            <w:tcW w:w="5080" w:type="dxa"/>
            <w:vAlign w:val="bottom"/>
            <w:tcBorders>
              <w:bottom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Depreciation and amortization expense</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1,995</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4,992</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4,586</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9,965</w:t>
            </w:r>
          </w:p>
        </w:tc>
        <w:tc>
          <w:tcPr>
            <w:tcW w:w="0" w:type="dxa"/>
            <w:vAlign w:val="bottom"/>
          </w:tcPr>
          <w:p>
            <w:pPr>
              <w:spacing w:after="0"/>
              <w:rPr>
                <w:sz w:val="1"/>
                <w:szCs w:val="1"/>
                <w:color w:val="auto"/>
              </w:rPr>
            </w:pPr>
          </w:p>
        </w:tc>
      </w:tr>
      <w:tr>
        <w:trPr>
          <w:trHeight w:val="183"/>
        </w:trPr>
        <w:tc>
          <w:tcPr>
            <w:tcW w:w="5080" w:type="dxa"/>
            <w:vAlign w:val="bottom"/>
            <w:shd w:val="clear" w:color="auto" w:fill="CCEEFF"/>
          </w:tcPr>
          <w:p>
            <w:pPr>
              <w:ind w:left="180"/>
              <w:spacing w:after="0" w:line="182" w:lineRule="exact"/>
              <w:rPr>
                <w:sz w:val="20"/>
                <w:szCs w:val="20"/>
                <w:color w:val="auto"/>
              </w:rPr>
            </w:pPr>
            <w:r>
              <w:rPr>
                <w:rFonts w:ascii="Times New Roman" w:cs="Times New Roman" w:eastAsia="Times New Roman" w:hAnsi="Times New Roman"/>
                <w:sz w:val="18"/>
                <w:szCs w:val="18"/>
                <w:color w:val="auto"/>
              </w:rPr>
              <w:t>EBITDA</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(41,060)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45,992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(84,798)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7,988</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(1,466)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adjustment gains, net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(5,325)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(71,123)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(95,024)</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for lease terminations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Integration costs</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preferred stock issuance</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Non-recurring professional fees</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foreign exchange</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23"/>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(2,628)</w:t>
            </w:r>
          </w:p>
        </w:tc>
        <w:tc>
          <w:tcPr>
            <w:tcW w:w="6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(17,567)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(59,324)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(73,837)</w:t>
            </w:r>
          </w:p>
        </w:tc>
        <w:tc>
          <w:tcPr>
            <w:tcW w:w="0" w:type="dxa"/>
            <w:vAlign w:val="bottom"/>
          </w:tcPr>
          <w:p>
            <w:pPr>
              <w:spacing w:after="0"/>
              <w:rPr>
                <w:sz w:val="1"/>
                <w:szCs w:val="1"/>
                <w:color w:val="auto"/>
              </w:rPr>
            </w:pPr>
          </w:p>
        </w:tc>
      </w:tr>
      <w:tr>
        <w:trPr>
          <w:trHeight w:val="20"/>
        </w:trPr>
        <w:tc>
          <w:tcPr>
            <w:tcW w:w="5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5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 Reconciliation of Adjusted EBITDA to Adjusted EBITDAR</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50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gridSpan w:val="11"/>
          </w:tcPr>
          <w:p>
            <w:pPr>
              <w:ind w:left="16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Six months ended June 30,</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bottom w:val="single" w:sz="8" w:color="CCEEFF"/>
            </w:tcBorders>
            <w:vMerge w:val="continue"/>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82"/>
        </w:trPr>
        <w:tc>
          <w:tcPr>
            <w:tcW w:w="50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Adjusted EBITDA</w:t>
            </w:r>
          </w:p>
        </w:tc>
        <w:tc>
          <w:tcPr>
            <w:tcW w:w="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(2,628)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(17,567)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auto"/>
              </w:rPr>
              <w:t>(59,324)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(73,837)</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13"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related rent charges</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61,261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75,580</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139,080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158,162</w:t>
            </w: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EBITDAR</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58,013</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Non-GAAP Financial Measures section for definitions of the Company’s Non-GAAP financial measures.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RevPAR</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Revenue Per Available Room </w:t>
      </w:r>
      <w:r>
        <w:rPr>
          <w:rFonts w:ascii="Arial" w:cs="Arial" w:eastAsia="Arial" w:hAnsi="Arial"/>
          <w:sz w:val="18"/>
          <w:szCs w:val="18"/>
          <w:color w:val="auto"/>
        </w:rPr>
        <w:t>(“RevPAR”) represents the average revenue earned per available night and can be calculated either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dividing revenue by Bookable Nights, or by multiplying Average Daily Rate by Occupancy Rate. </w:t>
      </w:r>
      <w:r>
        <w:rPr>
          <w:rFonts w:ascii="Arial" w:cs="Arial" w:eastAsia="Arial" w:hAnsi="Arial"/>
          <w:sz w:val="18"/>
          <w:szCs w:val="18"/>
          <w:b w:val="1"/>
          <w:bCs w:val="1"/>
          <w:color w:val="auto"/>
        </w:rPr>
        <w:t>Average Daily Rate</w:t>
      </w:r>
      <w:r>
        <w:rPr>
          <w:rFonts w:ascii="Arial" w:cs="Arial" w:eastAsia="Arial" w:hAnsi="Arial"/>
          <w:sz w:val="18"/>
          <w:szCs w:val="18"/>
          <w:color w:val="auto"/>
        </w:rPr>
        <w:t xml:space="preserve"> represents the average revenue earned per night occupied and is calculated as Revenue divided by Occupied Nights. </w:t>
      </w:r>
      <w:r>
        <w:rPr>
          <w:rFonts w:ascii="Arial" w:cs="Arial" w:eastAsia="Arial" w:hAnsi="Arial"/>
          <w:sz w:val="18"/>
          <w:szCs w:val="18"/>
          <w:b w:val="1"/>
          <w:bCs w:val="1"/>
          <w:color w:val="auto"/>
        </w:rPr>
        <w:t>Occupancy Rate</w:t>
      </w:r>
      <w:r>
        <w:rPr>
          <w:rFonts w:ascii="Arial" w:cs="Arial" w:eastAsia="Arial" w:hAnsi="Arial"/>
          <w:sz w:val="18"/>
          <w:szCs w:val="18"/>
          <w:color w:val="auto"/>
        </w:rPr>
        <w:t xml:space="preserve"> is calculated as Occupied Nights divided by Bookable Nights. </w:t>
      </w:r>
      <w:r>
        <w:rPr>
          <w:rFonts w:ascii="Arial" w:cs="Arial" w:eastAsia="Arial" w:hAnsi="Arial"/>
          <w:sz w:val="18"/>
          <w:szCs w:val="18"/>
          <w:b w:val="1"/>
          <w:bCs w:val="1"/>
          <w:color w:val="auto"/>
        </w:rPr>
        <w:t>Bookable Nights</w:t>
      </w:r>
      <w:r>
        <w:rPr>
          <w:rFonts w:ascii="Arial" w:cs="Arial" w:eastAsia="Arial" w:hAnsi="Arial"/>
          <w:sz w:val="18"/>
          <w:szCs w:val="18"/>
          <w:color w:val="auto"/>
        </w:rPr>
        <w:t xml:space="preserve"> represent the total number of nights available for stays across all Live Units. This excludes nights lost to full building closures of greater than 30 nights. </w:t>
      </w:r>
      <w:r>
        <w:rPr>
          <w:rFonts w:ascii="Arial" w:cs="Arial" w:eastAsia="Arial" w:hAnsi="Arial"/>
          <w:sz w:val="18"/>
          <w:szCs w:val="18"/>
          <w:b w:val="1"/>
          <w:bCs w:val="1"/>
          <w:color w:val="auto"/>
        </w:rPr>
        <w:t>Occupied Nights</w:t>
      </w:r>
      <w:r>
        <w:rPr>
          <w:rFonts w:ascii="Arial" w:cs="Arial" w:eastAsia="Arial" w:hAnsi="Arial"/>
          <w:sz w:val="18"/>
          <w:szCs w:val="18"/>
          <w:color w:val="auto"/>
        </w:rPr>
        <w:t xml:space="preserve"> represent the total number of nights occupied across all Live Units.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Live Units &amp; Total Portfolio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Total Portfolio </w:t>
      </w:r>
      <w:r>
        <w:rPr>
          <w:rFonts w:ascii="Arial" w:cs="Arial" w:eastAsia="Arial" w:hAnsi="Arial"/>
          <w:sz w:val="18"/>
          <w:szCs w:val="18"/>
          <w:color w:val="auto"/>
        </w:rPr>
        <w:t>consists of Live Units and Contracted Units.</w:t>
      </w:r>
      <w:r>
        <w:rPr>
          <w:rFonts w:ascii="Arial" w:cs="Arial" w:eastAsia="Arial" w:hAnsi="Arial"/>
          <w:sz w:val="18"/>
          <w:szCs w:val="18"/>
          <w:b w:val="1"/>
          <w:bCs w:val="1"/>
          <w:color w:val="auto"/>
        </w:rPr>
        <w:t xml:space="preserve"> Live Units </w:t>
      </w:r>
      <w:r>
        <w:rPr>
          <w:rFonts w:ascii="Arial" w:cs="Arial" w:eastAsia="Arial" w:hAnsi="Arial"/>
          <w:sz w:val="18"/>
          <w:szCs w:val="18"/>
          <w:color w:val="auto"/>
        </w:rPr>
        <w:t>are defined as units which are available for guests to book.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Contracted Units </w:t>
      </w:r>
      <w:r>
        <w:rPr>
          <w:rFonts w:ascii="Arial" w:cs="Arial" w:eastAsia="Arial" w:hAnsi="Arial"/>
          <w:sz w:val="18"/>
          <w:szCs w:val="18"/>
          <w:color w:val="auto"/>
        </w:rPr>
        <w:t>are units for which Sonder has signed real estate contracts, but are not yet available for guests to book.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is defined as net income (loss) as adjusted to eliminate the impact of net interest expense, provision (benefit) for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taxes, depreciation and amortization expense, and certain other items as indicated. The exclusion of these items and other similar items in our non-GAAP presentation should not be interpreted as implying that these items are non-recurring, infrequent or unusual. The Company believes Adjusted EBITDA is meaningful to investors as it is the primary operating performance measure that the Company focuses on internally to evaluate its core operating performance. Adjusted EBITDA provides a consistent basis for comparison across reporting periods by excluding interest, taxes, depreciation and amortization, and certain non-recurring or non-operational items, such as stock-based compensation expense, lease adjustment gains, net, cash received for lease terminations, integration costs, loss on preferred stock issuance, gain on foreign exchange, restructuring and other related charges and non-recurring professional fees related to discrete projects such as fees associated with the integration in connection with the strategic licensing agreement with Marriott and restatement activities. It serves as a key measure for the Company to align its financial performance with its internal financial planning and analysis.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EBITDAR</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Adjusted EBITDAR </w:t>
      </w:r>
      <w:r>
        <w:rPr>
          <w:rFonts w:ascii="Arial" w:cs="Arial" w:eastAsia="Arial" w:hAnsi="Arial"/>
          <w:sz w:val="18"/>
          <w:szCs w:val="18"/>
          <w:color w:val="auto"/>
        </w:rPr>
        <w:t>is defined as Adjusted EBITDA adjusted for operating lease related rent charges. The Company believes 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EBITDAR is meaningful to investors as it is an operating performance measure that further enables the Company to assess its operating performance independent of operating leases, offering insights into its cash flow and performance.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Free Cash Flow</w:t>
      </w:r>
    </w:p>
    <w:p>
      <w:pPr>
        <w:spacing w:after="0" w:line="2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Adjusted Free Cash Flow </w:t>
      </w:r>
      <w:r>
        <w:rPr>
          <w:rFonts w:ascii="Arial" w:cs="Arial" w:eastAsia="Arial" w:hAnsi="Arial"/>
          <w:sz w:val="18"/>
          <w:szCs w:val="18"/>
          <w:color w:val="auto"/>
        </w:rPr>
        <w:t>(“Adjusted FCF”) is defined as cash used in operating activities plus cash provided by (used in) investing</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excluding the impact of lease terminations, restructuring, non-recurring professional fee charges and integration costs related to non-operational activities. The most directly comparable GAAP financial measures are cash used in operating activities when combined with cash provided by (used in) investing activities. The Company believes Adjusted FCF is meaningful to investors as it is the primary liquidity measure that the Company focuses on internally to evaluate its progress towards the objectives outlined in its Cash Flow Positive Plan. The Company believes that achieving its goals around this measure will put it on a path to financial sustainability and will help fund its</w:t>
      </w:r>
    </w:p>
    <w:p>
      <w:pPr>
        <w:sectPr>
          <w:pgSz w:w="11900" w:h="16838" w:orient="portrait"/>
          <w:cols w:equalWidth="0" w:num="1">
            <w:col w:w="11240"/>
          </w:cols>
          <w:pgMar w:left="320" w:top="1431" w:right="339" w:bottom="1440" w:gutter="0" w:footer="0" w:header="0"/>
        </w:sectPr>
      </w:pPr>
    </w:p>
    <w:bookmarkStart w:id="9" w:name="page10"/>
    <w:bookmarkEnd w:id="9"/>
    <w:p>
      <w:pPr>
        <w:jc w:val="both"/>
        <w:ind w:right="20"/>
        <w:spacing w:after="0" w:line="271" w:lineRule="auto"/>
        <w:rPr>
          <w:sz w:val="20"/>
          <w:szCs w:val="20"/>
          <w:color w:val="auto"/>
        </w:rPr>
      </w:pPr>
      <w:r>
        <w:rPr>
          <w:rFonts w:ascii="Arial" w:cs="Arial" w:eastAsia="Arial" w:hAnsi="Arial"/>
          <w:sz w:val="18"/>
          <w:szCs w:val="18"/>
          <w:color w:val="auto"/>
        </w:rPr>
        <w:t>future growth. In addition, Adjusted FCF may not provide a complete understanding of the Company’s cash flow as a whole. As such, this measure should be reviewed in conjunction with the Company’s GAAP cash flow.</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Presentation of these measures are not intended to be considered in isolation or as a substitute for, or superior to, the financial information prepared and presented in accordance with GAAP.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that are based upon current expectations or beliefs, as well as assumptions about future events. Forward-looking statements include all statements that are not historical facts and can generally be identified by terms such as “could,” "estimate," “expect,” “intend,” “may,” “plan,” "potentially," or “will” or similar expressions and the negatives of those terms. These statements include, but are not limited to, statements relating to the Company’s financial performance, key performance metrics, operational and strategic initiatives, the Company’s long-term strategic licensing agreement with Marriott, and information concerning possible or assumed future financial or operating results and measures. These forward-looking statements are not guarantees of future performance, conditions or results. Actual results could differ materially from those expressed in or implied by the forward-looking statements due to a number of risks and uncertainties, including the risks and uncertainties described in the Company’s reports filed with the Securities and Exchange Commission, and under the heading “Risk Factors” in its most recent Annual Report on Form 10-K and Quarterly Reports on Form 10-Q, which are available at www.sec.gov and are incorporated by reference herein. The forward-looking statements contained herein are only as of the date of this press release. Except as required by law, the Company does not undertake any obligation to update or revise its forward-looking statements to reflect events or circumstances after the date of this press release.</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2025-10-14T15:35:47Z</dcterms:created>
  <dcterms:modified xsi:type="dcterms:W3CDTF">2025-10-14T15:35:47Z</dcterms:modified>
</cp:coreProperties>
</file>