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422910</wp:posOffset>
            </wp:positionH>
            <wp:positionV relativeFrom="page">
              <wp:posOffset>750570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781050</wp:posOffset>
            </wp:positionV>
            <wp:extent cx="67075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23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21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7, 2025</w:t>
      </w:r>
    </w:p>
    <w:p>
      <w:pPr>
        <w:spacing w:after="0" w:line="18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SONDER HOLDINGS INC.</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257" w:lineRule="exact"/>
        <w:rPr>
          <w:sz w:val="24"/>
          <w:szCs w:val="24"/>
          <w:color w:val="auto"/>
        </w:rPr>
      </w:pPr>
    </w:p>
    <w:tbl>
      <w:tblPr>
        <w:tblLayout w:type="fixed"/>
        <w:tblInd w:w="1620" w:type="dxa"/>
        <w:tblCellMar>
          <w:top w:w="0" w:type="dxa"/>
          <w:left w:w="0" w:type="dxa"/>
          <w:bottom w:w="0" w:type="dxa"/>
          <w:right w:w="0" w:type="dxa"/>
        </w:tblCellMar>
      </w:tblPr>
      <w:tr>
        <w:trPr>
          <w:trHeight w:val="205"/>
        </w:trPr>
        <w:tc>
          <w:tcPr>
            <w:tcW w:w="20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001-39907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85-2097088</w:t>
            </w:r>
          </w:p>
        </w:tc>
      </w:tr>
      <w:tr>
        <w:trPr>
          <w:trHeight w:val="156"/>
        </w:trPr>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(Commission</w:t>
            </w:r>
          </w:p>
        </w:tc>
        <w:tc>
          <w:tcPr>
            <w:tcW w:w="124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04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of incorporation)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File Number)</w:t>
            </w:r>
          </w:p>
        </w:tc>
        <w:tc>
          <w:tcPr>
            <w:tcW w:w="124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86"/>
        </w:trPr>
        <w:tc>
          <w:tcPr>
            <w:tcW w:w="20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447 Sutter St., Suite 405 #542</w:t>
            </w:r>
          </w:p>
        </w:tc>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20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San Francisco, California</w:t>
            </w:r>
          </w:p>
        </w:tc>
        <w:tc>
          <w:tcPr>
            <w:tcW w:w="3760" w:type="dxa"/>
            <w:vAlign w:val="bottom"/>
          </w:tcPr>
          <w:p>
            <w:pPr>
              <w:spacing w:after="0"/>
              <w:rPr>
                <w:sz w:val="19"/>
                <w:szCs w:val="19"/>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94108</w:t>
            </w:r>
          </w:p>
        </w:tc>
      </w:tr>
      <w:tr>
        <w:trPr>
          <w:trHeight w:val="178"/>
        </w:trPr>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760" w:type="dxa"/>
            <w:vAlign w:val="bottom"/>
          </w:tcPr>
          <w:p>
            <w:pPr>
              <w:spacing w:after="0"/>
              <w:rPr>
                <w:sz w:val="15"/>
                <w:szCs w:val="15"/>
                <w:color w:val="auto"/>
              </w:rPr>
            </w:pPr>
          </w:p>
        </w:tc>
        <w:tc>
          <w:tcPr>
            <w:tcW w:w="1240" w:type="dxa"/>
            <w:vAlign w:val="bottom"/>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304"/>
        </w:trPr>
        <w:tc>
          <w:tcPr>
            <w:tcW w:w="2040" w:type="dxa"/>
            <w:vAlign w:val="bottom"/>
          </w:tcPr>
          <w:p>
            <w:pPr>
              <w:spacing w:after="0"/>
              <w:rPr>
                <w:sz w:val="24"/>
                <w:szCs w:val="24"/>
                <w:color w:val="auto"/>
              </w:rPr>
            </w:pPr>
          </w:p>
        </w:tc>
        <w:tc>
          <w:tcPr>
            <w:tcW w:w="3760" w:type="dxa"/>
            <w:vAlign w:val="bottom"/>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(617) 300-0956</w:t>
            </w:r>
          </w:p>
        </w:tc>
        <w:tc>
          <w:tcPr>
            <w:tcW w:w="1240" w:type="dxa"/>
            <w:vAlign w:val="bottom"/>
          </w:tcPr>
          <w:p>
            <w:pPr>
              <w:spacing w:after="0"/>
              <w:rPr>
                <w:sz w:val="24"/>
                <w:szCs w:val="24"/>
                <w:color w:val="auto"/>
              </w:rPr>
            </w:pPr>
          </w:p>
        </w:tc>
      </w:tr>
      <w:tr>
        <w:trPr>
          <w:trHeight w:val="166"/>
        </w:trPr>
        <w:tc>
          <w:tcPr>
            <w:tcW w:w="2040" w:type="dxa"/>
            <w:vAlign w:val="bottom"/>
          </w:tcPr>
          <w:p>
            <w:pPr>
              <w:spacing w:after="0"/>
              <w:rPr>
                <w:sz w:val="14"/>
                <w:szCs w:val="14"/>
                <w:color w:val="auto"/>
              </w:rPr>
            </w:pPr>
          </w:p>
        </w:tc>
        <w:tc>
          <w:tcPr>
            <w:tcW w:w="3760" w:type="dxa"/>
            <w:vAlign w:val="bottom"/>
          </w:tcPr>
          <w:p>
            <w:pPr>
              <w:jc w:val="center"/>
              <w:ind w:right="43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24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376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240" w:type="dxa"/>
            <w:vAlign w:val="bottom"/>
          </w:tcPr>
          <w:p>
            <w:pPr>
              <w:spacing w:after="0"/>
              <w:rPr>
                <w:sz w:val="14"/>
                <w:szCs w:val="14"/>
                <w:color w:val="auto"/>
              </w:rPr>
            </w:pPr>
          </w:p>
        </w:tc>
      </w:tr>
      <w:tr>
        <w:trPr>
          <w:trHeight w:val="190"/>
        </w:trPr>
        <w:tc>
          <w:tcPr>
            <w:tcW w:w="5800" w:type="dxa"/>
            <w:vAlign w:val="bottom"/>
            <w:gridSpan w:val="2"/>
          </w:tcPr>
          <w:p>
            <w:pPr>
              <w:jc w:val="center"/>
              <w:ind w:left="145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Former name or former address, if changed since last report)</w:t>
            </w:r>
          </w:p>
        </w:tc>
        <w:tc>
          <w:tcPr>
            <w:tcW w:w="1240" w:type="dxa"/>
            <w:vAlign w:val="bottom"/>
          </w:tcPr>
          <w:p>
            <w:pPr>
              <w:spacing w:after="0"/>
              <w:rPr>
                <w:sz w:val="16"/>
                <w:szCs w:val="16"/>
                <w:color w:val="auto"/>
              </w:rPr>
            </w:pPr>
          </w:p>
        </w:tc>
      </w:tr>
    </w:tbl>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40" w:hanging="32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151" w:lineRule="exact"/>
        <w:rPr>
          <w:rFonts w:ascii="MS PGothic" w:cs="MS PGothic" w:eastAsia="MS PGothic" w:hAnsi="MS PGothic"/>
          <w:sz w:val="14"/>
          <w:szCs w:val="14"/>
          <w:color w:val="auto"/>
        </w:rPr>
      </w:pPr>
    </w:p>
    <w:p>
      <w:pPr>
        <w:ind w:left="340" w:hanging="32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51" w:lineRule="exact"/>
        <w:rPr>
          <w:rFonts w:ascii="MS PGothic" w:cs="MS PGothic" w:eastAsia="MS PGothic" w:hAnsi="MS PGothic"/>
          <w:sz w:val="14"/>
          <w:szCs w:val="14"/>
          <w:color w:val="auto"/>
        </w:rPr>
      </w:pPr>
    </w:p>
    <w:p>
      <w:pPr>
        <w:ind w:left="340" w:hanging="32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51" w:lineRule="exact"/>
        <w:rPr>
          <w:rFonts w:ascii="MS PGothic" w:cs="MS PGothic" w:eastAsia="MS PGothic" w:hAnsi="MS PGothic"/>
          <w:sz w:val="14"/>
          <w:szCs w:val="14"/>
          <w:color w:val="auto"/>
        </w:rPr>
      </w:pPr>
    </w:p>
    <w:p>
      <w:pPr>
        <w:ind w:left="340" w:hanging="32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05"/>
        </w:trPr>
        <w:tc>
          <w:tcPr>
            <w:tcW w:w="4420" w:type="dxa"/>
            <w:vAlign w:val="bottom"/>
          </w:tcPr>
          <w:p>
            <w:pPr>
              <w:spacing w:after="0"/>
              <w:rPr>
                <w:sz w:val="17"/>
                <w:szCs w:val="17"/>
                <w:color w:val="auto"/>
              </w:rPr>
            </w:pPr>
          </w:p>
        </w:tc>
        <w:tc>
          <w:tcPr>
            <w:tcW w:w="204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2640" w:type="dxa"/>
            <w:vAlign w:val="bottom"/>
          </w:tcPr>
          <w:p>
            <w:pPr>
              <w:jc w:val="center"/>
              <w:ind w:left="805"/>
              <w:spacing w:after="0"/>
              <w:rPr>
                <w:sz w:val="20"/>
                <w:szCs w:val="20"/>
                <w:color w:val="auto"/>
              </w:rPr>
            </w:pPr>
            <w:r>
              <w:rPr>
                <w:rFonts w:ascii="Times New Roman" w:cs="Times New Roman" w:eastAsia="Times New Roman" w:hAnsi="Times New Roman"/>
                <w:sz w:val="16"/>
                <w:szCs w:val="16"/>
                <w:b w:val="1"/>
                <w:bCs w:val="1"/>
                <w:color w:val="auto"/>
                <w:w w:val="97"/>
              </w:rPr>
              <w:t>Name of each exchange</w:t>
            </w:r>
          </w:p>
        </w:tc>
      </w:tr>
      <w:tr>
        <w:trPr>
          <w:trHeight w:val="205"/>
        </w:trPr>
        <w:tc>
          <w:tcPr>
            <w:tcW w:w="4420" w:type="dxa"/>
            <w:vAlign w:val="bottom"/>
          </w:tcPr>
          <w:p>
            <w:pPr>
              <w:jc w:val="center"/>
              <w:ind w:left="367"/>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04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2640" w:type="dxa"/>
            <w:vAlign w:val="bottom"/>
          </w:tcPr>
          <w:p>
            <w:pPr>
              <w:jc w:val="center"/>
              <w:ind w:left="785"/>
              <w:spacing w:after="0"/>
              <w:rPr>
                <w:sz w:val="20"/>
                <w:szCs w:val="20"/>
                <w:color w:val="auto"/>
              </w:rPr>
            </w:pPr>
            <w:r>
              <w:rPr>
                <w:rFonts w:ascii="Times New Roman" w:cs="Times New Roman" w:eastAsia="Times New Roman" w:hAnsi="Times New Roman"/>
                <w:sz w:val="16"/>
                <w:szCs w:val="16"/>
                <w:b w:val="1"/>
                <w:bCs w:val="1"/>
                <w:color w:val="auto"/>
                <w:w w:val="96"/>
              </w:rPr>
              <w:t>on which registered</w:t>
            </w:r>
          </w:p>
        </w:tc>
      </w:tr>
      <w:tr>
        <w:trPr>
          <w:trHeight w:val="214"/>
        </w:trPr>
        <w:tc>
          <w:tcPr>
            <w:tcW w:w="4420" w:type="dxa"/>
            <w:vAlign w:val="bottom"/>
          </w:tcPr>
          <w:p>
            <w:pPr>
              <w:jc w:val="center"/>
              <w:ind w:left="367"/>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4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SOND</w:t>
            </w:r>
          </w:p>
        </w:tc>
        <w:tc>
          <w:tcPr>
            <w:tcW w:w="2640" w:type="dxa"/>
            <w:vAlign w:val="bottom"/>
          </w:tcPr>
          <w:p>
            <w:pPr>
              <w:jc w:val="center"/>
              <w:ind w:left="76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6"/>
        </w:trPr>
        <w:tc>
          <w:tcPr>
            <w:tcW w:w="4420" w:type="dxa"/>
            <w:vAlign w:val="bottom"/>
          </w:tcPr>
          <w:p>
            <w:pPr>
              <w:jc w:val="center"/>
              <w:ind w:left="367"/>
              <w:spacing w:after="0"/>
              <w:rPr>
                <w:sz w:val="20"/>
                <w:szCs w:val="20"/>
                <w:color w:val="auto"/>
              </w:rPr>
            </w:pPr>
            <w:r>
              <w:rPr>
                <w:rFonts w:ascii="Times New Roman" w:cs="Times New Roman" w:eastAsia="Times New Roman" w:hAnsi="Times New Roman"/>
                <w:sz w:val="14"/>
                <w:szCs w:val="14"/>
                <w:color w:val="auto"/>
              </w:rPr>
              <w:t>Warrants, each 20 warrants exercisable for one</w:t>
            </w:r>
          </w:p>
        </w:tc>
        <w:tc>
          <w:tcPr>
            <w:tcW w:w="204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SONDW</w:t>
            </w:r>
          </w:p>
        </w:tc>
        <w:tc>
          <w:tcPr>
            <w:tcW w:w="2640" w:type="dxa"/>
            <w:vAlign w:val="bottom"/>
          </w:tcPr>
          <w:p>
            <w:pPr>
              <w:jc w:val="center"/>
              <w:ind w:left="76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68"/>
        </w:trPr>
        <w:tc>
          <w:tcPr>
            <w:tcW w:w="4420" w:type="dxa"/>
            <w:vAlign w:val="bottom"/>
          </w:tcPr>
          <w:p>
            <w:pPr>
              <w:jc w:val="center"/>
              <w:ind w:left="367"/>
              <w:spacing w:after="0"/>
              <w:rPr>
                <w:sz w:val="20"/>
                <w:szCs w:val="20"/>
                <w:color w:val="auto"/>
              </w:rPr>
            </w:pPr>
            <w:r>
              <w:rPr>
                <w:rFonts w:ascii="Times New Roman" w:cs="Times New Roman" w:eastAsia="Times New Roman" w:hAnsi="Times New Roman"/>
                <w:sz w:val="14"/>
                <w:szCs w:val="14"/>
                <w:color w:val="auto"/>
              </w:rPr>
              <w:t>share of Common Stock at an exercise price of</w:t>
            </w:r>
          </w:p>
        </w:tc>
        <w:tc>
          <w:tcPr>
            <w:tcW w:w="20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88"/>
        </w:trPr>
        <w:tc>
          <w:tcPr>
            <w:tcW w:w="4420" w:type="dxa"/>
            <w:vAlign w:val="bottom"/>
          </w:tcPr>
          <w:p>
            <w:pPr>
              <w:jc w:val="center"/>
              <w:ind w:left="347"/>
              <w:spacing w:after="0"/>
              <w:rPr>
                <w:sz w:val="20"/>
                <w:szCs w:val="20"/>
                <w:color w:val="auto"/>
              </w:rPr>
            </w:pPr>
            <w:r>
              <w:rPr>
                <w:rFonts w:ascii="Times New Roman" w:cs="Times New Roman" w:eastAsia="Times New Roman" w:hAnsi="Times New Roman"/>
                <w:sz w:val="14"/>
                <w:szCs w:val="14"/>
                <w:color w:val="auto"/>
              </w:rPr>
              <w:t>$230.00 per share</w:t>
            </w:r>
          </w:p>
        </w:tc>
        <w:tc>
          <w:tcPr>
            <w:tcW w:w="204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148"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6" w:lineRule="exact"/>
        <w:rPr>
          <w:sz w:val="24"/>
          <w:szCs w:val="24"/>
          <w:color w:val="auto"/>
        </w:rPr>
      </w:pPr>
    </w:p>
    <w:p>
      <w:pPr>
        <w:ind w:right="28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463550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300"/>
          </w:cols>
          <w:pgMar w:left="660" w:top="1406" w:right="9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1.02 Termination of a Material Definitive Agreement.</w:t>
      </w:r>
    </w:p>
    <w:p>
      <w:pPr>
        <w:spacing w:after="0" w:line="214" w:lineRule="exact"/>
        <w:rPr>
          <w:sz w:val="20"/>
          <w:szCs w:val="20"/>
          <w:color w:val="auto"/>
        </w:rPr>
      </w:pPr>
    </w:p>
    <w:p>
      <w:pPr>
        <w:jc w:val="both"/>
        <w:ind w:right="20" w:firstLine="576"/>
        <w:spacing w:after="0" w:line="234" w:lineRule="auto"/>
        <w:rPr>
          <w:sz w:val="20"/>
          <w:szCs w:val="20"/>
          <w:color w:val="auto"/>
        </w:rPr>
      </w:pPr>
      <w:r>
        <w:rPr>
          <w:rFonts w:ascii="Times New Roman" w:cs="Times New Roman" w:eastAsia="Times New Roman" w:hAnsi="Times New Roman"/>
          <w:sz w:val="16"/>
          <w:szCs w:val="16"/>
          <w:color w:val="auto"/>
        </w:rPr>
        <w:t>On November 7, 2025, Sonder Holdings Inc. (the “Company”) received written notice from Marriott International, Inc. and Global Hospitality Licensing S.À R.L (together, “Marriott”) stating Marriott’s intention to terminate the License Agreement, dated August 13, 2024 (the “License Agreement”), between Marriott and the Company, effective immediately.</w:t>
      </w:r>
    </w:p>
    <w:p>
      <w:pPr>
        <w:spacing w:after="0" w:line="194" w:lineRule="exact"/>
        <w:rPr>
          <w:sz w:val="20"/>
          <w:szCs w:val="20"/>
          <w:color w:val="auto"/>
        </w:rPr>
      </w:pPr>
    </w:p>
    <w:p>
      <w:pPr>
        <w:jc w:val="both"/>
        <w:ind w:right="40" w:firstLine="576"/>
        <w:spacing w:after="0" w:line="234" w:lineRule="auto"/>
        <w:rPr>
          <w:sz w:val="20"/>
          <w:szCs w:val="20"/>
          <w:color w:val="auto"/>
        </w:rPr>
      </w:pPr>
      <w:r>
        <w:rPr>
          <w:rFonts w:ascii="Times New Roman" w:cs="Times New Roman" w:eastAsia="Times New Roman" w:hAnsi="Times New Roman"/>
          <w:sz w:val="16"/>
          <w:szCs w:val="16"/>
          <w:color w:val="auto"/>
        </w:rPr>
        <w:t>Under the License Agreement, the Company’s portfolio of properties joined the Marriott system under a collection called “Sonder by Marriott Bonvoy” and became available for booking on Marriott’s digital platforms, including Marriott.com and the Marriott Bonvoy mobile app. Under the License Agreement, the Company also gained access to Marriott’s global sales and marketing capabilities and distribution platform.</w:t>
      </w:r>
    </w:p>
    <w:p>
      <w:pPr>
        <w:spacing w:after="0" w:line="194" w:lineRule="exact"/>
        <w:rPr>
          <w:sz w:val="20"/>
          <w:szCs w:val="20"/>
          <w:color w:val="auto"/>
        </w:rPr>
      </w:pPr>
    </w:p>
    <w:p>
      <w:pPr>
        <w:ind w:right="180" w:firstLine="576"/>
        <w:spacing w:after="0" w:line="313" w:lineRule="auto"/>
        <w:rPr>
          <w:sz w:val="20"/>
          <w:szCs w:val="20"/>
          <w:color w:val="auto"/>
        </w:rPr>
      </w:pPr>
      <w:r>
        <w:rPr>
          <w:rFonts w:ascii="Times New Roman" w:cs="Times New Roman" w:eastAsia="Times New Roman" w:hAnsi="Times New Roman"/>
          <w:sz w:val="14"/>
          <w:szCs w:val="14"/>
          <w:color w:val="auto"/>
        </w:rPr>
        <w:t>The foregoing description of the License Agreement does not purport to be complete and is qualified in its entirety by reference to the full text of the License Agreement, which was filed as Exhibit 10.5 to the Company’s Current Report on Form 8-K filed on August 19, 2024 and is incorporated by reference herein.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1.03 Bankruptcy or Receivership.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Voluntary Petition for Bankruptcy</w:t>
      </w:r>
    </w:p>
    <w:p>
      <w:pPr>
        <w:spacing w:after="0" w:line="216" w:lineRule="exact"/>
        <w:rPr>
          <w:sz w:val="20"/>
          <w:szCs w:val="20"/>
          <w:color w:val="auto"/>
        </w:rPr>
      </w:pPr>
    </w:p>
    <w:p>
      <w:pPr>
        <w:ind w:right="80" w:firstLine="576"/>
        <w:spacing w:after="0" w:line="230" w:lineRule="auto"/>
        <w:rPr>
          <w:sz w:val="20"/>
          <w:szCs w:val="20"/>
          <w:color w:val="auto"/>
        </w:rPr>
      </w:pPr>
      <w:r>
        <w:rPr>
          <w:rFonts w:ascii="Times New Roman" w:cs="Times New Roman" w:eastAsia="Times New Roman" w:hAnsi="Times New Roman"/>
          <w:sz w:val="16"/>
          <w:szCs w:val="16"/>
          <w:color w:val="212529"/>
        </w:rPr>
        <w:t>On November 14, 2025 (the “Petition Date”), the Company and certain of its direct and indirect subsidiaries (collectively, the “Company Parties”) filed voluntary petitions to commence proceedings under chapter 7 (the “Proceedings”) of title 11 of the United States Code (the “Bankruptcy Code”) in the U.S. Bankruptcy Court for the District of Delaware (the “Bankruptcy Court”) seeking approval to jointly administer the Proceedings under the caption “</w:t>
      </w:r>
      <w:r>
        <w:rPr>
          <w:rFonts w:ascii="Times New Roman" w:cs="Times New Roman" w:eastAsia="Times New Roman" w:hAnsi="Times New Roman"/>
          <w:sz w:val="16"/>
          <w:szCs w:val="16"/>
          <w:i w:val="1"/>
          <w:iCs w:val="1"/>
          <w:color w:val="212529"/>
        </w:rPr>
        <w:t>In re: Sonder Holdings Inc., et</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i w:val="1"/>
          <w:iCs w:val="1"/>
          <w:color w:val="212529"/>
        </w:rPr>
        <w:t>al.</w:t>
      </w:r>
      <w:r>
        <w:rPr>
          <w:rFonts w:ascii="Times New Roman" w:cs="Times New Roman" w:eastAsia="Times New Roman" w:hAnsi="Times New Roman"/>
          <w:sz w:val="16"/>
          <w:szCs w:val="16"/>
          <w:color w:val="212529"/>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2.04 Triggering Events that Accelerate or Increase a Direct Financial Obligation or an Obligation under an Off-Balance Sheet Arrangement.</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12529"/>
        </w:rPr>
        <w:t>The filing of the Proceedings constitutes an event of default that accelerated the Company’s obligations under the following credit facilities:</w:t>
      </w:r>
    </w:p>
    <w:p>
      <w:pPr>
        <w:spacing w:after="0" w:line="212" w:lineRule="exact"/>
        <w:rPr>
          <w:sz w:val="20"/>
          <w:szCs w:val="20"/>
          <w:color w:val="auto"/>
        </w:rPr>
      </w:pPr>
    </w:p>
    <w:p>
      <w:pPr>
        <w:jc w:val="both"/>
        <w:ind w:left="580" w:right="40" w:firstLine="2"/>
        <w:spacing w:after="0" w:line="234" w:lineRule="auto"/>
        <w:tabs>
          <w:tab w:leader="none" w:pos="856" w:val="left"/>
        </w:tabs>
        <w:numPr>
          <w:ilvl w:val="0"/>
          <w:numId w:val="2"/>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that certain Note and Warrant Purchase Agreement, dated as of December 10, 2021 (as amended through and most recently by that certain Consent and Seventh Omnibus Amendment, dated as of August 5, 2025, and as may be further amended, restated, amended and restated, supplemented, or otherwise modified from time to time, the “2021 NPA”), by and among the Company Parties and the investors party thereto from time to time;</w:t>
      </w:r>
    </w:p>
    <w:p>
      <w:pPr>
        <w:spacing w:after="0" w:line="194" w:lineRule="exact"/>
        <w:rPr>
          <w:rFonts w:ascii="Times New Roman" w:cs="Times New Roman" w:eastAsia="Times New Roman" w:hAnsi="Times New Roman"/>
          <w:sz w:val="16"/>
          <w:szCs w:val="16"/>
          <w:color w:val="212529"/>
        </w:rPr>
      </w:pPr>
    </w:p>
    <w:p>
      <w:pPr>
        <w:ind w:left="580" w:right="40" w:firstLine="2"/>
        <w:spacing w:after="0" w:line="244" w:lineRule="auto"/>
        <w:tabs>
          <w:tab w:leader="none" w:pos="856" w:val="left"/>
        </w:tabs>
        <w:numPr>
          <w:ilvl w:val="0"/>
          <w:numId w:val="2"/>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that certain Note and Warrant Purchase Agreement, dated as of August 5, 2025 (as may be amended, restated, amended and restated, supplemented, or otherwise modified from time to time, the “2025 NPA”), by and among the Company Parties and the investors party thereto from time to time; and</w:t>
      </w:r>
    </w:p>
    <w:p>
      <w:pPr>
        <w:spacing w:after="0" w:line="190" w:lineRule="exact"/>
        <w:rPr>
          <w:rFonts w:ascii="Times New Roman" w:cs="Times New Roman" w:eastAsia="Times New Roman" w:hAnsi="Times New Roman"/>
          <w:sz w:val="16"/>
          <w:szCs w:val="16"/>
          <w:color w:val="212529"/>
        </w:rPr>
      </w:pPr>
    </w:p>
    <w:p>
      <w:pPr>
        <w:jc w:val="both"/>
        <w:ind w:left="580" w:right="20" w:firstLine="2"/>
        <w:spacing w:after="0" w:line="234" w:lineRule="auto"/>
        <w:tabs>
          <w:tab w:leader="none" w:pos="856" w:val="left"/>
        </w:tabs>
        <w:numPr>
          <w:ilvl w:val="0"/>
          <w:numId w:val="2"/>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that certain Loan Agreement, dated as of August 5, 2025 (as may be amended, restated, amended and restated, supplemented, or otherwise modified from time to time, the “2025 Marriott Loan Agreement”), by and among the Company Parties, Marriott International, Inc. as administrative agent and collateral agent and the lenders party thereto from time to time.</w:t>
      </w:r>
    </w:p>
    <w:p>
      <w:pPr>
        <w:spacing w:after="0" w:line="194" w:lineRule="exact"/>
        <w:rPr>
          <w:sz w:val="20"/>
          <w:szCs w:val="20"/>
          <w:color w:val="auto"/>
        </w:rPr>
      </w:pPr>
    </w:p>
    <w:p>
      <w:pPr>
        <w:jc w:val="both"/>
        <w:ind w:right="40" w:firstLine="576"/>
        <w:spacing w:after="0" w:line="230" w:lineRule="auto"/>
        <w:rPr>
          <w:sz w:val="20"/>
          <w:szCs w:val="20"/>
          <w:color w:val="auto"/>
        </w:rPr>
      </w:pPr>
      <w:r>
        <w:rPr>
          <w:rFonts w:ascii="Times New Roman" w:cs="Times New Roman" w:eastAsia="Times New Roman" w:hAnsi="Times New Roman"/>
          <w:sz w:val="16"/>
          <w:szCs w:val="16"/>
          <w:color w:val="212529"/>
        </w:rPr>
        <w:t>As of June 30, 2025, the Company had an aggregate of approximately $205.6 million principal amount outstanding under the 2021 NPA. As of August 5, 2025, the Company had an aggregate of approximately $24.54 million principal amount outstanding under the 2025 NPA. As of October 31, 2025, the Company had an aggregate of approximately $5.3 million principal amount outstanding under the 2025 Marriott Loan Agreement. The 2021 NPA, 2025 NPA and 2025 Marriott Loan Agreement provide for increases in the rates of interest under the respective agreements as a result of the event of default.</w:t>
      </w:r>
    </w:p>
    <w:p>
      <w:pPr>
        <w:spacing w:after="0" w:line="195" w:lineRule="exact"/>
        <w:rPr>
          <w:sz w:val="20"/>
          <w:szCs w:val="20"/>
          <w:color w:val="auto"/>
        </w:rPr>
      </w:pPr>
    </w:p>
    <w:p>
      <w:pPr>
        <w:jc w:val="both"/>
        <w:ind w:firstLine="576"/>
        <w:spacing w:after="0" w:line="226" w:lineRule="auto"/>
        <w:rPr>
          <w:sz w:val="20"/>
          <w:szCs w:val="20"/>
          <w:color w:val="auto"/>
        </w:rPr>
      </w:pPr>
      <w:r>
        <w:rPr>
          <w:rFonts w:ascii="Times New Roman" w:cs="Times New Roman" w:eastAsia="Times New Roman" w:hAnsi="Times New Roman"/>
          <w:sz w:val="16"/>
          <w:szCs w:val="16"/>
          <w:color w:val="212529"/>
        </w:rPr>
        <w:t>In accordance with Section 362 of the Bankruptcy Code, the filing of the Proceedings created an automatic injunction or “stay” of most actions worldwide against the Company Parties or their property—including actions to (a) collect or enforce “prepetition” claims or debts (i.e., claims or debts arising prior to the Petition Date), (b) commence or continue litigation (or any legal proceeding) that could have been commenced prepetition, or (c) exercise control over any of the Company Parties’ property. This automatic stay is subject to certain statutory exceptions (for example, governmental authorities may determine to continue actions brought under their police and regulatory powers). Otherwise, the automatic stay remains in force unless and until the Bankruptcy Court modifies it or lifts it—typically upon the motion of a party in interest.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Nasdaq Delisting Notice</w:t>
      </w:r>
    </w:p>
    <w:p>
      <w:pPr>
        <w:spacing w:after="0" w:line="216" w:lineRule="exact"/>
        <w:rPr>
          <w:sz w:val="20"/>
          <w:szCs w:val="20"/>
          <w:color w:val="auto"/>
        </w:rPr>
      </w:pPr>
    </w:p>
    <w:p>
      <w:pPr>
        <w:jc w:val="both"/>
        <w:ind w:firstLine="576"/>
        <w:spacing w:after="0" w:line="281" w:lineRule="auto"/>
        <w:rPr>
          <w:sz w:val="20"/>
          <w:szCs w:val="20"/>
          <w:color w:val="auto"/>
        </w:rPr>
      </w:pPr>
      <w:r>
        <w:rPr>
          <w:rFonts w:ascii="Times New Roman" w:cs="Times New Roman" w:eastAsia="Times New Roman" w:hAnsi="Times New Roman"/>
          <w:sz w:val="14"/>
          <w:szCs w:val="14"/>
          <w:color w:val="auto"/>
        </w:rPr>
        <w:t xml:space="preserve">The Company expects to receive a notice from The Nasdaq Stock Market (“Nasdaq”) that the Common Stock, $0.0001 par value per share, of the Company (the “Common Stock”) no longer meets the eligibility requirements necessary for listing pursuant to Nasdaq Listing Rule 5110(b) as a result of the </w:t>
      </w:r>
      <w:r>
        <w:rPr>
          <w:rFonts w:ascii="Times New Roman" w:cs="Times New Roman" w:eastAsia="Times New Roman" w:hAnsi="Times New Roman"/>
          <w:sz w:val="14"/>
          <w:szCs w:val="14"/>
          <w:color w:val="212529"/>
        </w:rPr>
        <w:t>Proceedings</w:t>
      </w:r>
      <w:r>
        <w:rPr>
          <w:rFonts w:ascii="Times New Roman" w:cs="Times New Roman" w:eastAsia="Times New Roman" w:hAnsi="Times New Roman"/>
          <w:sz w:val="14"/>
          <w:szCs w:val="14"/>
          <w:color w:val="auto"/>
        </w:rPr>
        <w:t>. If the Company receives such notice, the Company does not intend to appeal Nasdaq’s determination and, therefore, it is expected that its Common Stock will be delisted.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on the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231775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43" w:right="660" w:bottom="1440" w:gutter="0" w:footer="0" w:header="0"/>
        </w:sectPr>
      </w:pPr>
    </w:p>
    <w:bookmarkStart w:id="2" w:name="page3"/>
    <w:bookmarkEnd w:id="2"/>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U.S. Bankruptcy Court filings and other information related to the Proceedings are available for a fee at the U.S. Bankruptcy Court’s website. The documents and other information available via website or elsewhere are not part of this Report and shall not be deemed incorporated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Cautionary Note Regarding the Company’s Common Stock</w:t>
      </w:r>
    </w:p>
    <w:p>
      <w:pPr>
        <w:spacing w:after="0" w:line="216" w:lineRule="exact"/>
        <w:rPr>
          <w:sz w:val="20"/>
          <w:szCs w:val="20"/>
          <w:color w:val="auto"/>
        </w:rPr>
      </w:pPr>
    </w:p>
    <w:p>
      <w:pPr>
        <w:jc w:val="both"/>
        <w:ind w:firstLine="576"/>
        <w:spacing w:after="0" w:line="234" w:lineRule="auto"/>
        <w:rPr>
          <w:sz w:val="20"/>
          <w:szCs w:val="20"/>
          <w:color w:val="auto"/>
        </w:rPr>
      </w:pPr>
      <w:r>
        <w:rPr>
          <w:rFonts w:ascii="Times New Roman" w:cs="Times New Roman" w:eastAsia="Times New Roman" w:hAnsi="Times New Roman"/>
          <w:sz w:val="16"/>
          <w:szCs w:val="16"/>
          <w:color w:val="auto"/>
        </w:rPr>
        <w:t xml:space="preserve">The Company cautions that trading in the Common Stock during the pendency of the </w:t>
      </w:r>
      <w:r>
        <w:rPr>
          <w:rFonts w:ascii="Times New Roman" w:cs="Times New Roman" w:eastAsia="Times New Roman" w:hAnsi="Times New Roman"/>
          <w:sz w:val="16"/>
          <w:szCs w:val="16"/>
          <w:color w:val="212529"/>
        </w:rPr>
        <w:t>Proceedings</w:t>
      </w:r>
      <w:r>
        <w:rPr>
          <w:rFonts w:ascii="Times New Roman" w:cs="Times New Roman" w:eastAsia="Times New Roman" w:hAnsi="Times New Roman"/>
          <w:sz w:val="16"/>
          <w:szCs w:val="16"/>
          <w:color w:val="auto"/>
        </w:rPr>
        <w:t xml:space="preserve"> is highly speculative and poses substantial risks. Trading prices for the Common Stock may bear little or no relationship to the actual recovery, if any, by holders of the Common Stock in the </w:t>
      </w:r>
      <w:r>
        <w:rPr>
          <w:rFonts w:ascii="Times New Roman" w:cs="Times New Roman" w:eastAsia="Times New Roman" w:hAnsi="Times New Roman"/>
          <w:sz w:val="16"/>
          <w:szCs w:val="16"/>
          <w:color w:val="212529"/>
        </w:rPr>
        <w:t>Proceedings</w:t>
      </w:r>
      <w:r>
        <w:rPr>
          <w:rFonts w:ascii="Times New Roman" w:cs="Times New Roman" w:eastAsia="Times New Roman" w:hAnsi="Times New Roman"/>
          <w:sz w:val="16"/>
          <w:szCs w:val="16"/>
          <w:color w:val="auto"/>
        </w:rPr>
        <w:t xml:space="preserve">. The Company expects that its stockholders could experience a significant or complete loss on their investment, depending on the outcome of the </w:t>
      </w:r>
      <w:r>
        <w:rPr>
          <w:rFonts w:ascii="Times New Roman" w:cs="Times New Roman" w:eastAsia="Times New Roman" w:hAnsi="Times New Roman"/>
          <w:sz w:val="16"/>
          <w:szCs w:val="16"/>
          <w:color w:val="212529"/>
        </w:rPr>
        <w:t>Proceedings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Cautionary Statement Concerning Forward-Looking Statements</w:t>
      </w:r>
    </w:p>
    <w:p>
      <w:pPr>
        <w:spacing w:after="0" w:line="216"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4"/>
          <w:szCs w:val="14"/>
          <w:color w:val="212529"/>
        </w:rPr>
        <w:t>This Report contains certain “forward -looking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such court throughout the course of the Proceedings; the effects of the Proceedings, including increased legal and other professional costs necessary to execute the Company’s liquidation, on the Company’s liquidity (including the availability of operating capital during the pendency of the Proceedings); the effects of the Proceedings on the interests of various constituents and financial stakeholders; objections during the course of the Proceedings or other pleadings filed that could protract the Proceedings; risks associated with third-party motions in the Proceedings; rulings of the Bankruptcy Court in the Proceedings and the outcome of the Proceedings in general; the Company’s ability to comply with the restrictions imposed by the terms and conditions of its financing arrangements; employee attrition and the Company’s ability to retain senior management and other key personnel due to the distractions and uncertainties caused by the Proceedings; the impact of any local law requirements in various jurisdictions; finalization of the Company’s annual and quarterly financial statements; risks relating to the delisting of the Common Stock from Nasdaq; the impact of litigation and regulatory proceedings; and other factors discussed in the Company’s Annual Report on Form 10-K/A filed with the U.S Securities and Exchange Commission (the “SEC”). These risks and uncertainties may cause the Company’s actual results, liquidity or achievements to differ materially from any future results,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 -looking statements contained in this report may not in fact occur.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(d)  </w:t>
            </w:r>
            <w:r>
              <w:rPr>
                <w:rFonts w:ascii="Times New Roman" w:cs="Times New Roman" w:eastAsia="Times New Roman" w:hAnsi="Times New Roman"/>
                <w:sz w:val="16"/>
                <w:szCs w:val="16"/>
                <w:color w:val="auto"/>
              </w:rPr>
              <w:t>Exhibits</w:t>
            </w:r>
          </w:p>
        </w:tc>
        <w:tc>
          <w:tcPr>
            <w:tcW w:w="7620" w:type="dxa"/>
            <w:vAlign w:val="bottom"/>
          </w:tcPr>
          <w:p>
            <w:pPr>
              <w:spacing w:after="0"/>
              <w:rPr>
                <w:sz w:val="17"/>
                <w:szCs w:val="17"/>
                <w:color w:val="auto"/>
              </w:rPr>
            </w:pPr>
          </w:p>
        </w:tc>
      </w:tr>
      <w:tr>
        <w:trPr>
          <w:trHeight w:val="463"/>
        </w:trPr>
        <w:tc>
          <w:tcPr>
            <w:tcW w:w="216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762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2"/>
        </w:trPr>
        <w:tc>
          <w:tcPr>
            <w:tcW w:w="21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10.1+**</w:t>
            </w:r>
          </w:p>
        </w:tc>
        <w:tc>
          <w:tcPr>
            <w:tcW w:w="7620" w:type="dxa"/>
            <w:vAlign w:val="bottom"/>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License Agreement, dated August 13, 2024, between Marriott International, Inc. and Global Hospitality Licensing S.À</w:t>
              </w:r>
            </w:hyperlink>
          </w:p>
        </w:tc>
      </w:tr>
      <w:tr>
        <w:trPr>
          <w:trHeight w:val="168"/>
        </w:trPr>
        <w:tc>
          <w:tcPr>
            <w:tcW w:w="2160" w:type="dxa"/>
            <w:vAlign w:val="bottom"/>
          </w:tcPr>
          <w:p>
            <w:pPr>
              <w:spacing w:after="0"/>
              <w:rPr>
                <w:sz w:val="14"/>
                <w:szCs w:val="14"/>
                <w:color w:val="auto"/>
              </w:rPr>
            </w:pPr>
          </w:p>
        </w:tc>
        <w:tc>
          <w:tcPr>
            <w:tcW w:w="7620" w:type="dxa"/>
            <w:vAlign w:val="bottom"/>
          </w:tcPr>
          <w:p>
            <w:pPr>
              <w:spacing w:after="0" w:line="168" w:lineRule="exact"/>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R.L and Sonder Holdings Inc. (incorporated by reference to Exhibit 10.5 to Sonder Holdings Inc.’s Current Report on</w:t>
              </w:r>
            </w:hyperlink>
          </w:p>
        </w:tc>
      </w:tr>
      <w:tr>
        <w:trPr>
          <w:trHeight w:val="203"/>
        </w:trPr>
        <w:tc>
          <w:tcPr>
            <w:tcW w:w="2160" w:type="dxa"/>
            <w:vAlign w:val="bottom"/>
          </w:tcPr>
          <w:p>
            <w:pPr>
              <w:spacing w:after="0"/>
              <w:rPr>
                <w:sz w:val="17"/>
                <w:szCs w:val="17"/>
                <w:color w:val="auto"/>
              </w:rPr>
            </w:pPr>
          </w:p>
        </w:tc>
        <w:tc>
          <w:tcPr>
            <w:tcW w:w="7620" w:type="dxa"/>
            <w:vAlign w:val="bottom"/>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Form 8-K filed on August 19, 2024).</w:t>
              </w:r>
            </w:hyperlink>
          </w:p>
        </w:tc>
      </w:tr>
    </w:tbl>
    <w:p>
      <w:pPr>
        <w:spacing w:after="0" w:line="13" w:lineRule="exact"/>
        <w:rPr>
          <w:sz w:val="20"/>
          <w:szCs w:val="20"/>
          <w:color w:val="auto"/>
        </w:rPr>
      </w:pPr>
    </w:p>
    <w:p>
      <w:pPr>
        <w:ind w:left="2160" w:hanging="1242"/>
        <w:spacing w:after="0"/>
        <w:tabs>
          <w:tab w:leader="none" w:pos="21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332" w:lineRule="exact"/>
        <w:rPr>
          <w:rFonts w:ascii="Times New Roman" w:cs="Times New Roman" w:eastAsia="Times New Roman" w:hAnsi="Times New Roman"/>
          <w:sz w:val="16"/>
          <w:szCs w:val="16"/>
          <w:color w:val="auto"/>
        </w:rPr>
      </w:pPr>
    </w:p>
    <w:p>
      <w:pPr>
        <w:ind w:left="800" w:right="20" w:hanging="794"/>
        <w:spacing w:after="0" w:line="249" w:lineRule="auto"/>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exhibits and schedules to this agreement have been omitted from this filing pursuant to Item 601(a)(5) of Regulation S-K. The Registrant will furnish copies of such exhibits and schedules to the SEC upon request.</w:t>
      </w:r>
    </w:p>
    <w:p>
      <w:pPr>
        <w:spacing w:after="0" w:line="1" w:lineRule="exact"/>
        <w:rPr>
          <w:sz w:val="20"/>
          <w:szCs w:val="20"/>
          <w:color w:val="auto"/>
        </w:rPr>
      </w:pPr>
    </w:p>
    <w:p>
      <w:pPr>
        <w:ind w:left="800" w:right="100" w:hanging="794"/>
        <w:spacing w:after="0" w:line="245" w:lineRule="auto"/>
        <w:tabs>
          <w:tab w:leader="none" w:pos="21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information has been excluded from this exhibit because the Company does not believe it is material and is the type that the Company customarily treats as private and confidential. Redacted information is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215265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45" w:right="66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Exchange Act, the registrant has duly caused this report to be signed on its behalf by the undersigned thereunto duly authorized.</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Sonder Holdings Inc.</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14, 2025</w:t>
            </w:r>
          </w:p>
        </w:tc>
        <w:tc>
          <w:tcPr>
            <w:tcW w:w="27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Vanessa Barmack</w:t>
            </w:r>
          </w:p>
        </w:tc>
      </w:tr>
      <w:tr>
        <w:trPr>
          <w:trHeight w:val="213"/>
        </w:trPr>
        <w:tc>
          <w:tcPr>
            <w:tcW w:w="3540" w:type="dxa"/>
            <w:vAlign w:val="bottom"/>
          </w:tcPr>
          <w:p>
            <w:pPr>
              <w:spacing w:after="0"/>
              <w:rPr>
                <w:sz w:val="18"/>
                <w:szCs w:val="18"/>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Name:</w:t>
            </w: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Vanessa Barmack</w:t>
            </w:r>
          </w:p>
        </w:tc>
      </w:tr>
      <w:tr>
        <w:trPr>
          <w:trHeight w:val="228"/>
        </w:trPr>
        <w:tc>
          <w:tcPr>
            <w:tcW w:w="3540" w:type="dxa"/>
            <w:vAlign w:val="bottom"/>
          </w:tcPr>
          <w:p>
            <w:pPr>
              <w:spacing w:after="0"/>
              <w:rPr>
                <w:sz w:val="19"/>
                <w:szCs w:val="19"/>
                <w:color w:val="auto"/>
              </w:rPr>
            </w:pPr>
          </w:p>
        </w:tc>
        <w:tc>
          <w:tcPr>
            <w:tcW w:w="274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 and Secretary</w:t>
            </w:r>
          </w:p>
        </w:tc>
      </w:tr>
    </w:tbl>
    <w:p>
      <w:pPr>
        <w:sectPr>
          <w:pgSz w:w="11900" w:h="16840" w:orient="portrait"/>
          <w:cols w:equalWidth="0" w:num="1">
            <w:col w:w="10560"/>
          </w:cols>
          <w:pgMar w:left="660" w:top="1419" w:right="680" w:bottom="1440" w:gutter="0" w:footer="0" w:header="0"/>
        </w:sectPr>
      </w:pPr>
    </w:p>
    <w:bookmarkStart w:id="4" w:name="page5"/>
    <w:bookmarkEnd w:id="4"/>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
      <w:numFmt w:val="bullet"/>
      <w:start w:val="1"/>
    </w:lvl>
    <w:lvl w:ilvl="1">
      <w:lvlJc w:val="left"/>
      <w:lvlText w:val="%2"/>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4" Type="http://schemas.openxmlformats.org/officeDocument/2006/relationships/hyperlink" Target="https://www.sec.gov/Archives/edgar/data/1819395/000181939524000046/exhibit105-license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2025-11-14T15:10:28Z</dcterms:created>
  <dcterms:modified xsi:type="dcterms:W3CDTF">2025-11-14T15:10:28Z</dcterms:modified>
</cp:coreProperties>
</file>