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2" w:lineRule="exact"/>
        <w:rPr>
          <w:sz w:val="24"/>
          <w:szCs w:val="24"/>
          <w:color w:val="auto"/>
        </w:rPr>
      </w:pPr>
    </w:p>
    <w:p>
      <w:pPr>
        <w:ind w:left="2480" w:right="2220" w:hanging="236"/>
        <w:spacing w:after="0" w:line="274" w:lineRule="auto"/>
        <w:tabs>
          <w:tab w:leader="none" w:pos="2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05" w:lineRule="exact"/>
        <w:rPr>
          <w:sz w:val="24"/>
          <w:szCs w:val="24"/>
          <w:color w:val="auto"/>
        </w:rPr>
      </w:pPr>
    </w:p>
    <w:p>
      <w:pPr>
        <w:ind w:left="2480" w:right="2500" w:hanging="236"/>
        <w:spacing w:after="0" w:line="274" w:lineRule="auto"/>
        <w:tabs>
          <w:tab w:leader="none" w:pos="2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40" w:type="dxa"/>
            <w:vAlign w:val="bottom"/>
            <w:gridSpan w:val="8"/>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tc>
        <w:tc>
          <w:tcPr>
            <w:tcW w:w="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0"/>
        </w:trPr>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20" w:type="dxa"/>
            <w:vAlign w:val="bottom"/>
            <w:gridSpan w:val="7"/>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Commission file number 001-39907</w:t>
            </w: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40" w:type="dxa"/>
            <w:vAlign w:val="bottom"/>
            <w:gridSpan w:val="6"/>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4"/>
        </w:trPr>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40" w:type="dxa"/>
            <w:vAlign w:val="bottom"/>
            <w:gridSpan w:val="8"/>
          </w:tcPr>
          <w:p>
            <w:pPr>
              <w:jc w:val="center"/>
              <w:ind w:left="835"/>
              <w:spacing w:after="0"/>
              <w:rPr>
                <w:sz w:val="20"/>
                <w:szCs w:val="20"/>
                <w:color w:val="auto"/>
              </w:rPr>
            </w:pPr>
            <w:r>
              <w:rPr>
                <w:rFonts w:ascii="Times New Roman" w:cs="Times New Roman" w:eastAsia="Times New Roman" w:hAnsi="Times New Roman"/>
                <w:sz w:val="25"/>
                <w:szCs w:val="25"/>
                <w:b w:val="1"/>
                <w:bCs w:val="1"/>
                <w:color w:val="auto"/>
              </w:rPr>
              <w:t>SONDER HOLDINGS INC.</w:t>
            </w: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40" w:type="dxa"/>
            <w:vAlign w:val="bottom"/>
            <w:gridSpan w:val="8"/>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340" w:type="dxa"/>
            <w:vAlign w:val="bottom"/>
            <w:gridSpan w:val="6"/>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79"/>
        </w:trPr>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80" w:type="dxa"/>
            <w:vAlign w:val="bottom"/>
            <w:gridSpan w:val="2"/>
          </w:tcPr>
          <w:p>
            <w:pPr>
              <w:jc w:val="center"/>
              <w:ind w:right="63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gridSpan w:val="2"/>
          </w:tcPr>
          <w:p>
            <w:pPr>
              <w:jc w:val="right"/>
              <w:ind w:right="1549"/>
              <w:spacing w:after="0"/>
              <w:rPr>
                <w:sz w:val="20"/>
                <w:szCs w:val="20"/>
                <w:color w:val="auto"/>
              </w:rPr>
            </w:pPr>
            <w:r>
              <w:rPr>
                <w:rFonts w:ascii="Times New Roman" w:cs="Times New Roman" w:eastAsia="Times New Roman" w:hAnsi="Times New Roman"/>
                <w:sz w:val="14"/>
                <w:szCs w:val="14"/>
                <w:b w:val="1"/>
                <w:bCs w:val="1"/>
                <w:color w:val="auto"/>
              </w:rPr>
              <w:t>85-2097088</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
        </w:trPr>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780" w:type="dxa"/>
            <w:vAlign w:val="bottom"/>
            <w:gridSpan w:val="2"/>
          </w:tcPr>
          <w:p>
            <w:pPr>
              <w:jc w:val="center"/>
              <w:ind w:right="595"/>
              <w:spacing w:after="0" w:line="13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2"/>
          </w:tcPr>
          <w:p>
            <w:pPr>
              <w:jc w:val="center"/>
              <w:ind w:right="2060"/>
              <w:spacing w:after="0" w:line="133"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80" w:type="dxa"/>
            <w:vAlign w:val="bottom"/>
          </w:tcPr>
          <w:p>
            <w:pPr>
              <w:spacing w:after="0"/>
              <w:rPr>
                <w:sz w:val="11"/>
                <w:szCs w:val="11"/>
                <w:color w:val="auto"/>
              </w:rPr>
            </w:pPr>
          </w:p>
        </w:tc>
      </w:tr>
      <w:tr>
        <w:trPr>
          <w:trHeight w:val="197"/>
        </w:trPr>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780" w:type="dxa"/>
            <w:vAlign w:val="bottom"/>
            <w:gridSpan w:val="2"/>
          </w:tcPr>
          <w:p>
            <w:pPr>
              <w:jc w:val="center"/>
              <w:ind w:right="6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80" w:type="dxa"/>
            <w:vAlign w:val="bottom"/>
          </w:tcPr>
          <w:p>
            <w:pPr>
              <w:spacing w:after="0"/>
              <w:rPr>
                <w:sz w:val="17"/>
                <w:szCs w:val="17"/>
                <w:color w:val="auto"/>
              </w:rPr>
            </w:pPr>
          </w:p>
        </w:tc>
      </w:tr>
      <w:tr>
        <w:trPr>
          <w:trHeight w:val="217"/>
        </w:trPr>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80" w:type="dxa"/>
            <w:vAlign w:val="bottom"/>
            <w:gridSpan w:val="2"/>
          </w:tcPr>
          <w:p>
            <w:pPr>
              <w:jc w:val="center"/>
              <w:ind w:right="615"/>
              <w:spacing w:after="0"/>
              <w:rPr>
                <w:sz w:val="20"/>
                <w:szCs w:val="20"/>
                <w:color w:val="auto"/>
              </w:rPr>
            </w:pPr>
            <w:r>
              <w:rPr>
                <w:rFonts w:ascii="Times New Roman" w:cs="Times New Roman" w:eastAsia="Times New Roman" w:hAnsi="Times New Roman"/>
                <w:sz w:val="14"/>
                <w:szCs w:val="14"/>
                <w:b w:val="1"/>
                <w:bCs w:val="1"/>
                <w:color w:val="auto"/>
              </w:rPr>
              <w:t>447 Sutter St., Suite 405 #542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80" w:type="dxa"/>
            <w:vAlign w:val="bottom"/>
            <w:gridSpan w:val="2"/>
          </w:tcPr>
          <w:p>
            <w:pPr>
              <w:jc w:val="center"/>
              <w:ind w:right="635"/>
              <w:spacing w:after="0"/>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00" w:type="dxa"/>
            <w:vAlign w:val="bottom"/>
            <w:gridSpan w:val="2"/>
          </w:tcPr>
          <w:p>
            <w:pPr>
              <w:jc w:val="right"/>
              <w:ind w:right="1709"/>
              <w:spacing w:after="0"/>
              <w:rPr>
                <w:sz w:val="20"/>
                <w:szCs w:val="20"/>
                <w:color w:val="auto"/>
              </w:rPr>
            </w:pPr>
            <w:r>
              <w:rPr>
                <w:rFonts w:ascii="Times New Roman" w:cs="Times New Roman" w:eastAsia="Times New Roman" w:hAnsi="Times New Roman"/>
                <w:sz w:val="14"/>
                <w:szCs w:val="14"/>
                <w:b w:val="1"/>
                <w:bCs w:val="1"/>
                <w:color w:val="auto"/>
              </w:rPr>
              <w:t>94108</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4500" w:type="dxa"/>
            <w:vAlign w:val="bottom"/>
            <w:gridSpan w:val="3"/>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80" w:type="dxa"/>
            <w:vAlign w:val="bottom"/>
          </w:tcPr>
          <w:p>
            <w:pPr>
              <w:spacing w:after="0"/>
              <w:rPr>
                <w:sz w:val="15"/>
                <w:szCs w:val="15"/>
                <w:color w:val="auto"/>
              </w:rPr>
            </w:pPr>
          </w:p>
        </w:tc>
      </w:tr>
      <w:tr>
        <w:trPr>
          <w:trHeight w:val="402"/>
        </w:trPr>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gridSpan w:val="5"/>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(617) 300-0956</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40" w:type="dxa"/>
            <w:vAlign w:val="bottom"/>
            <w:gridSpan w:val="8"/>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6920" w:type="dxa"/>
            <w:vAlign w:val="bottom"/>
            <w:gridSpan w:val="10"/>
          </w:tcPr>
          <w:p>
            <w:pPr>
              <w:jc w:val="center"/>
              <w:ind w:left="4289"/>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0"/>
        </w:trPr>
        <w:tc>
          <w:tcPr>
            <w:tcW w:w="4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139"/>
        </w:trPr>
        <w:tc>
          <w:tcPr>
            <w:tcW w:w="80" w:type="dxa"/>
            <w:vAlign w:val="bottom"/>
            <w:tcBorders>
              <w:lef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2780" w:type="dxa"/>
            <w:vAlign w:val="bottom"/>
            <w:gridSpan w:val="2"/>
          </w:tcPr>
          <w:p>
            <w:pPr>
              <w:jc w:val="center"/>
              <w:ind w:right="1635"/>
              <w:spacing w:after="0" w:line="139"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tcBorders>
              <w:right w:val="single" w:sz="8" w:color="auto"/>
            </w:tcBorders>
            <w:gridSpan w:val="4"/>
          </w:tcPr>
          <w:p>
            <w:pPr>
              <w:jc w:val="center"/>
              <w:ind w:right="5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580" w:type="dxa"/>
            <w:vAlign w:val="bottom"/>
          </w:tcPr>
          <w:p>
            <w:pPr>
              <w:spacing w:after="0"/>
              <w:rPr>
                <w:sz w:val="12"/>
                <w:szCs w:val="12"/>
                <w:color w:val="auto"/>
              </w:rPr>
            </w:pPr>
          </w:p>
        </w:tc>
        <w:tc>
          <w:tcPr>
            <w:tcW w:w="3720" w:type="dxa"/>
            <w:vAlign w:val="bottom"/>
            <w:gridSpan w:val="3"/>
          </w:tcPr>
          <w:p>
            <w:pPr>
              <w:ind w:left="280"/>
              <w:spacing w:after="0" w:line="139"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80" w:type="dxa"/>
            <w:vAlign w:val="bottom"/>
            <w:tcBorders>
              <w:right w:val="single" w:sz="8" w:color="auto"/>
            </w:tcBorders>
          </w:tcPr>
          <w:p>
            <w:pPr>
              <w:spacing w:after="0"/>
              <w:rPr>
                <w:sz w:val="12"/>
                <w:szCs w:val="12"/>
                <w:color w:val="auto"/>
              </w:rPr>
            </w:pPr>
          </w:p>
        </w:tc>
      </w:tr>
      <w:tr>
        <w:trPr>
          <w:trHeight w:val="33"/>
        </w:trPr>
        <w:tc>
          <w:tcPr>
            <w:tcW w:w="8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2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r>
      <w:tr>
        <w:trPr>
          <w:trHeight w:val="184"/>
        </w:trPr>
        <w:tc>
          <w:tcPr>
            <w:tcW w:w="80" w:type="dxa"/>
            <w:vAlign w:val="bottom"/>
            <w:tcBorders>
              <w:left w:val="single" w:sz="8" w:color="auto"/>
              <w:bottom w:val="single" w:sz="8" w:color="auto"/>
            </w:tcBorders>
          </w:tcPr>
          <w:p>
            <w:pPr>
              <w:spacing w:after="0"/>
              <w:rPr>
                <w:sz w:val="16"/>
                <w:szCs w:val="16"/>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0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right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SOND</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80" w:type="dxa"/>
            <w:vAlign w:val="bottom"/>
            <w:tcBorders>
              <w:bottom w:val="single" w:sz="8" w:color="auto"/>
              <w:right w:val="single" w:sz="8" w:color="auto"/>
            </w:tcBorders>
          </w:tcPr>
          <w:p>
            <w:pPr>
              <w:spacing w:after="0"/>
              <w:rPr>
                <w:sz w:val="16"/>
                <w:szCs w:val="16"/>
                <w:color w:val="auto"/>
              </w:rPr>
            </w:pPr>
          </w:p>
        </w:tc>
      </w:tr>
      <w:tr>
        <w:trPr>
          <w:trHeight w:val="151"/>
        </w:trPr>
        <w:tc>
          <w:tcPr>
            <w:tcW w:w="80" w:type="dxa"/>
            <w:vAlign w:val="bottom"/>
            <w:tcBorders>
              <w:left w:val="single" w:sz="8" w:color="auto"/>
            </w:tcBorders>
          </w:tcPr>
          <w:p>
            <w:pPr>
              <w:spacing w:after="0"/>
              <w:rPr>
                <w:sz w:val="13"/>
                <w:szCs w:val="13"/>
                <w:color w:val="auto"/>
              </w:rPr>
            </w:pPr>
          </w:p>
        </w:tc>
        <w:tc>
          <w:tcPr>
            <w:tcW w:w="450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Warrants, each 20 warrants exercisable for one share of Common Stock at</w:t>
            </w:r>
          </w:p>
        </w:tc>
        <w:tc>
          <w:tcPr>
            <w:tcW w:w="10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tcBorders>
              <w:right w:val="single" w:sz="8" w:color="auto"/>
            </w:tcBorders>
            <w:gridSpan w:val="4"/>
          </w:tcPr>
          <w:p>
            <w:pPr>
              <w:jc w:val="center"/>
              <w:ind w:right="600"/>
              <w:spacing w:after="0" w:line="151" w:lineRule="exact"/>
              <w:rPr>
                <w:sz w:val="20"/>
                <w:szCs w:val="20"/>
                <w:color w:val="auto"/>
              </w:rPr>
            </w:pPr>
            <w:r>
              <w:rPr>
                <w:rFonts w:ascii="Times New Roman" w:cs="Times New Roman" w:eastAsia="Times New Roman" w:hAnsi="Times New Roman"/>
                <w:sz w:val="14"/>
                <w:szCs w:val="14"/>
                <w:b w:val="1"/>
                <w:bCs w:val="1"/>
                <w:color w:val="auto"/>
              </w:rPr>
              <w:t>SONDW</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4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80" w:type="dxa"/>
            <w:vAlign w:val="bottom"/>
            <w:tcBorders>
              <w:right w:val="single" w:sz="8" w:color="auto"/>
            </w:tcBorders>
          </w:tcPr>
          <w:p>
            <w:pPr>
              <w:spacing w:after="0"/>
              <w:rPr>
                <w:sz w:val="13"/>
                <w:szCs w:val="13"/>
                <w:color w:val="auto"/>
              </w:rPr>
            </w:pPr>
          </w:p>
        </w:tc>
      </w:tr>
      <w:tr>
        <w:trPr>
          <w:trHeight w:val="186"/>
        </w:trPr>
        <w:tc>
          <w:tcPr>
            <w:tcW w:w="80" w:type="dxa"/>
            <w:vAlign w:val="bottom"/>
            <w:tcBorders>
              <w:left w:val="single" w:sz="8" w:color="auto"/>
            </w:tcBorders>
          </w:tcPr>
          <w:p>
            <w:pPr>
              <w:spacing w:after="0"/>
              <w:rPr>
                <w:sz w:val="16"/>
                <w:szCs w:val="16"/>
                <w:color w:val="auto"/>
              </w:rPr>
            </w:pP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 exercise price of $230.00 per share</w:t>
            </w:r>
          </w:p>
        </w:tc>
        <w:tc>
          <w:tcPr>
            <w:tcW w:w="1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r>
      <w:tr>
        <w:trPr>
          <w:trHeight w:val="22"/>
        </w:trPr>
        <w:tc>
          <w:tcPr>
            <w:tcW w:w="80" w:type="dxa"/>
            <w:vAlign w:val="bottom"/>
            <w:tcBorders>
              <w:left w:val="single" w:sz="8" w:color="auto"/>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6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tcPr>
          <w:p>
            <w:pPr>
              <w:ind w:left="1480"/>
              <w:spacing w:after="0"/>
              <w:rPr>
                <w:sz w:val="20"/>
                <w:szCs w:val="20"/>
                <w:color w:val="auto"/>
              </w:rPr>
            </w:pPr>
            <w:r>
              <w:rPr>
                <w:rFonts w:ascii="Wingdings" w:cs="Wingdings" w:eastAsia="Wingdings" w:hAnsi="Wingdings"/>
                <w:sz w:val="14"/>
                <w:szCs w:val="14"/>
                <w:b w:val="1"/>
                <w:bCs w:val="1"/>
                <w:color w:val="auto"/>
                <w:w w:val="95"/>
              </w:rPr>
              <w:t>o</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62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20" w:type="dxa"/>
            <w:vAlign w:val="bottom"/>
          </w:tcPr>
          <w:p>
            <w:pPr>
              <w:ind w:left="148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2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620" w:type="dxa"/>
            <w:vAlign w:val="bottom"/>
          </w:tcPr>
          <w:p>
            <w:pPr>
              <w:ind w:left="148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x</w:t>
      </w:r>
    </w:p>
    <w:p>
      <w:pPr>
        <w:spacing w:after="0" w:line="14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of the registrant held by non-affiliates as of June 30, 2024 was $48.5 million. The registrant had outstanding 13,308,481 shares of common stock as of July 7, 2025.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662305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84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40" w:type="dxa"/>
            <w:vAlign w:val="bottom"/>
            <w:gridSpan w:val="9"/>
          </w:tcPr>
          <w:p>
            <w:pPr>
              <w:ind w:left="3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 Business</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85"/>
              </w:rPr>
              <w:t>12</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85"/>
              </w:rPr>
              <w:t>50</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2. Properties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420" w:type="dxa"/>
            <w:vAlign w:val="bottom"/>
            <w:tcBorders>
              <w:bottom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500" w:type="dxa"/>
            <w:vAlign w:val="bottom"/>
            <w:tcBorders>
              <w:bottom w:val="single" w:sz="8" w:color="0000FF"/>
            </w:tcBorders>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500" w:type="dxa"/>
            <w:vAlign w:val="bottom"/>
            <w:tcBorders>
              <w:bottom w:val="single" w:sz="8" w:color="0000FF"/>
            </w:tcBorders>
            <w:gridSpan w:val="4"/>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6. [Reserved]</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6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71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85"/>
              </w:rPr>
              <w:t>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0000FF"/>
                <w:w w:val="85"/>
              </w:rPr>
              <w:t>118</w:t>
            </w: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2"/>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0000FF"/>
                <w:w w:val="85"/>
              </w:rPr>
              <w:t>118</w:t>
            </w: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121</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124</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3"/>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2"/>
          </w:tcPr>
          <w:p>
            <w:pPr>
              <w:spacing w:after="0" w:line="20" w:lineRule="exact"/>
              <w:rPr>
                <w:sz w:val="1"/>
                <w:szCs w:val="1"/>
                <w:color w:val="auto"/>
              </w:rPr>
            </w:pPr>
          </w:p>
        </w:tc>
        <w:tc>
          <w:tcPr>
            <w:tcW w:w="660" w:type="dxa"/>
            <w:vAlign w:val="bottom"/>
            <w:tcBorders>
              <w:bottom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3660" w:type="dxa"/>
            <w:vAlign w:val="bottom"/>
          </w:tcPr>
          <w:p>
            <w:pPr>
              <w:spacing w:after="0"/>
              <w:rPr>
                <w:sz w:val="24"/>
                <w:szCs w:val="2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125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3660" w:type="dxa"/>
            <w:vAlign w:val="bottom"/>
          </w:tcPr>
          <w:p>
            <w:pPr>
              <w:spacing w:after="0"/>
              <w:rPr>
                <w:sz w:val="24"/>
                <w:szCs w:val="2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125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3"/>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11. Executive Compensation</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141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1460" w:type="dxa"/>
            <w:vAlign w:val="bottom"/>
            <w:tcBorders>
              <w:bottom w:val="single" w:sz="8" w:color="0000FF"/>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144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800" w:type="dxa"/>
            <w:vAlign w:val="bottom"/>
            <w:tcBorders>
              <w:bottom w:val="single" w:sz="8" w:color="0000FF"/>
            </w:tcBorders>
            <w:gridSpan w:val="5"/>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147</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tcBorders>
              <w:bottom w:val="single" w:sz="8" w:color="0000FF"/>
            </w:tcBorders>
            <w:gridSpan w:val="2"/>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1020" w:type="dxa"/>
            <w:vAlign w:val="bottom"/>
            <w:tcBorders>
              <w:bottom w:val="single" w:sz="8" w:color="0000FF"/>
            </w:tcBorders>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3660" w:type="dxa"/>
            <w:vAlign w:val="bottom"/>
          </w:tcPr>
          <w:p>
            <w:pPr>
              <w:spacing w:after="0"/>
              <w:rPr>
                <w:sz w:val="24"/>
                <w:szCs w:val="2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149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3660" w:type="dxa"/>
            <w:vAlign w:val="bottom"/>
          </w:tcPr>
          <w:p>
            <w:pPr>
              <w:spacing w:after="0"/>
              <w:rPr>
                <w:sz w:val="24"/>
                <w:szCs w:val="2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149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tcBorders>
              <w:bottom w:val="single" w:sz="8" w:color="0000FF"/>
            </w:tcBorders>
            <w:gridSpan w:val="5"/>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1260" w:type="dxa"/>
            <w:vAlign w:val="bottom"/>
            <w:tcBorders>
              <w:bottom w:val="single" w:sz="8" w:color="0000FF"/>
            </w:tcBorders>
            <w:gridSpan w:val="6"/>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3660" w:type="dxa"/>
            <w:vAlign w:val="bottom"/>
          </w:tcPr>
          <w:p>
            <w:pPr>
              <w:spacing w:after="0"/>
              <w:rPr>
                <w:sz w:val="14"/>
                <w:szCs w:val="14"/>
                <w:color w:val="auto"/>
              </w:rPr>
            </w:pPr>
          </w:p>
        </w:tc>
        <w:tc>
          <w:tcPr>
            <w:tcW w:w="22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color w:val="0000FF"/>
                <w:w w:val="95"/>
              </w:rPr>
              <w:t>157</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tcBorders>
              <w:bottom w:val="single" w:sz="8" w:color="0000FF"/>
            </w:tcBorders>
            <w:gridSpan w:val="5"/>
          </w:tcPr>
          <w:p>
            <w:pPr>
              <w:spacing w:after="0" w:line="20" w:lineRule="exact"/>
              <w:rPr>
                <w:sz w:val="1"/>
                <w:szCs w:val="1"/>
                <w:color w:val="auto"/>
              </w:rPr>
            </w:pPr>
          </w:p>
        </w:tc>
        <w:tc>
          <w:tcPr>
            <w:tcW w:w="820" w:type="dxa"/>
            <w:vAlign w:val="bottom"/>
            <w:tcBorders>
              <w:bottom w:val="single" w:sz="8" w:color="0000FF"/>
            </w:tcBorders>
            <w:gridSpan w:val="9"/>
          </w:tcPr>
          <w:p>
            <w:pPr>
              <w:spacing w:after="0" w:line="20" w:lineRule="exact"/>
              <w:rPr>
                <w:sz w:val="1"/>
                <w:szCs w:val="1"/>
                <w:color w:val="auto"/>
              </w:rPr>
            </w:pPr>
          </w:p>
        </w:tc>
        <w:tc>
          <w:tcPr>
            <w:tcW w:w="5060" w:type="dxa"/>
            <w:vAlign w:val="bottom"/>
            <w:gridSpan w:val="15"/>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60" w:type="dxa"/>
            <w:vAlign w:val="bottom"/>
          </w:tcPr>
          <w:p>
            <w:pPr>
              <w:spacing w:after="0"/>
              <w:rPr>
                <w:sz w:val="24"/>
                <w:szCs w:val="24"/>
                <w:color w:val="auto"/>
              </w:rPr>
            </w:pPr>
          </w:p>
        </w:tc>
        <w:tc>
          <w:tcPr>
            <w:tcW w:w="67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4440" w:type="dxa"/>
            <w:vAlign w:val="bottom"/>
            <w:gridSpan w:val="9"/>
          </w:tcPr>
          <w:p>
            <w:pPr>
              <w:jc w:val="center"/>
              <w:ind w:left="3009"/>
              <w:spacing w:after="0"/>
              <w:rPr>
                <w:sz w:val="20"/>
                <w:szCs w:val="20"/>
                <w:color w:val="auto"/>
              </w:rPr>
            </w:pPr>
            <w:r>
              <w:rPr>
                <w:rFonts w:ascii="Times New Roman" w:cs="Times New Roman" w:eastAsia="Times New Roman" w:hAnsi="Times New Roman"/>
                <w:sz w:val="14"/>
                <w:szCs w:val="14"/>
                <w:color w:val="0000FF"/>
                <w:w w:val="95"/>
              </w:rPr>
              <w:t>158</w:t>
            </w:r>
          </w:p>
        </w:tc>
        <w:tc>
          <w:tcPr>
            <w:tcW w:w="0" w:type="dxa"/>
            <w:vAlign w:val="bottom"/>
          </w:tcPr>
          <w:p>
            <w:pPr>
              <w:spacing w:after="0"/>
              <w:rPr>
                <w:sz w:val="1"/>
                <w:szCs w:val="1"/>
                <w:color w:val="auto"/>
              </w:rPr>
            </w:pPr>
          </w:p>
        </w:tc>
      </w:tr>
      <w:tr>
        <w:trPr>
          <w:trHeight w:val="754"/>
        </w:trPr>
        <w:tc>
          <w:tcPr>
            <w:tcW w:w="60" w:type="dxa"/>
            <w:vAlign w:val="bottom"/>
          </w:tcPr>
          <w:p>
            <w:pPr>
              <w:spacing w:after="0"/>
              <w:rPr>
                <w:sz w:val="24"/>
                <w:szCs w:val="24"/>
                <w:color w:val="auto"/>
              </w:rPr>
            </w:pPr>
          </w:p>
        </w:tc>
        <w:tc>
          <w:tcPr>
            <w:tcW w:w="900" w:type="dxa"/>
            <w:vAlign w:val="bottom"/>
            <w:tcBorders>
              <w:top w:val="single" w:sz="8" w:color="0000FF"/>
            </w:tcBorders>
            <w:gridSpan w:val="5"/>
          </w:tcPr>
          <w:p>
            <w:pPr>
              <w:spacing w:after="0"/>
              <w:rPr>
                <w:sz w:val="24"/>
                <w:szCs w:val="24"/>
                <w:color w:val="auto"/>
              </w:rPr>
            </w:pPr>
          </w:p>
        </w:tc>
        <w:tc>
          <w:tcPr>
            <w:tcW w:w="5340" w:type="dxa"/>
            <w:vAlign w:val="bottom"/>
            <w:gridSpan w:val="23"/>
          </w:tcPr>
          <w:p>
            <w:pPr>
              <w:jc w:val="right"/>
              <w:ind w:right="620"/>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Annual Report on Form 10-K of Sonder Holdings Inc. (“Sonder,” “we,” “us,” or “our”)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Forward-looking statements contained in this Annual Report on Form 10-K include, but are not limited to, statements about:</w:t>
      </w:r>
    </w:p>
    <w:p>
      <w:pPr>
        <w:spacing w:after="0" w:line="200" w:lineRule="exact"/>
        <w:rPr>
          <w:sz w:val="20"/>
          <w:szCs w:val="20"/>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achieving positive and sustainable adjusted free cash flow (“Adjusted FCF”);</w:t>
      </w:r>
    </w:p>
    <w:p>
      <w:pPr>
        <w:spacing w:after="0" w:line="23"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forecasts and projections, including our cost-saving initiatives, restructuring initiatives, portfolio optimization program, and Cash Flow Positive Plan;</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for our business, revenue, expenses, results of operations, financial condition, and cash flows;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license agreement with Marriott International, Inc. and Global Hospitality Licensing S.À R.L (together, “Marriott”) (the “Marriott Agreement”), including the integration of our properties, the anticipated benefits of the Marriott Agreement, and other plans and expectations related to the Marriott relationship;</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concerning future transaction structures and the anticipated rent, rent abatement, capital expenditure provisions, and other terms of our future leases;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satisfactory leases or renew existing properties on satisfactory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the hospitality, real estate, and travel industries;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our financial, operating, and growth forecasts, and to predict and plan for risks and challenges;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maintain profitability in the future;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landlords;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optimization program, including lease renegotiation efforts, potential lease amendments and terminations, and the scope and timing of property exits, and their potential effects on our portfolio, results of operations, and cash flow, including any anticipated cost savings;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pricing and revenue management strategies, pricing and occupancy forecasts and anticipated trends, and expectations about demand elasticity;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expand globally and in jurisdictions where we do not currently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advantage and anticipated differentiation in cost structure and guest experience compared to other accommodation providers;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distinctive type of hospitality service;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and satisfy guest demands, including through the introduction of new features, amenities or services;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relationships with third-party distribution channels and indirect channels, and the percentage of future revenue attributable to bookings through indirect channels;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expenses, operating results, and cash flows, as well as our key operating metrics;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the strength of our brand;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assessments and beliefs regarding the timing and outcome of pending legal proceedings and any liability that we may incur as a result of those proceedings;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executive management and expectations about employee relations and our ability to attract, retain, motivate, or integrate qualified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remediate material weaknesses in our internal controls over financial reporting;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timely and accurate financial statements or comply with applicable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and continue meeting the listing standards of The Nasdaq Stock Market LLC (“Nasdaq”);</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third-party services and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adequacy of our capital resources, the availability of future financing or other capital resources, and the anticipated use of proceeds from any financings;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geographic market mix and product mix between hotels and apartments, and their impact on our financial results;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roll out additional features, amenities and technologies, and our beliefs about the positive impact of our technology investments on our brand and financial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assessments and estimates that determine our effective tax rate and regarding any tax-related audits or other tax proceedings;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conclusion regarding its substantial doubt about the Company’s ability to continue as a going concern, and the related mitigation plans, including any impact on our key stakeholder relationships;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ratio of Occupied Nights to Bookable Nights (“Occupancy Rate”) and expectations about guests’ average length of stay;</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w:t>
      </w:r>
    </w:p>
    <w:p>
      <w:pPr>
        <w:ind w:left="520" w:hanging="260"/>
        <w:spacing w:after="0" w:line="253" w:lineRule="auto"/>
        <w:tabs>
          <w:tab w:leader="none" w:pos="48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seasonality and other variations in our results of operations from period-to-period, including statements about anticipated Revenue per Available Room (“RevPAR”) in specified periods; and</w:t>
      </w:r>
    </w:p>
    <w:p>
      <w:pPr>
        <w:ind w:left="460" w:hanging="200"/>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expectations, beliefs, plans, strategies, anticipated developments, and other matters that are not historical facts.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Annual Report on Form 10-K.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You should note that we may announce material information to our investors using our investor relations website (https://investors.sonder.com/),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Further, our references to website URLs in this filing are intended to be inactive textual references only.</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See the section entitled “Risk Factors” for a discussion of certain factors that could cause actual results to differ materially from those expressed in our forward-looking statements. Additional factors that could cause results or performance to differ materially from those expressed in our forward-looking statements are detailed in other filings we may make with SEC, copies of which are available at no charge as set forth under Item 1. “Business-Available Information” below.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41 cities, spanning nine countries, and three continents. The Sonder app gives guests control over their stay. Complete with self-service features, simple check-in and 24/7 on-the-ground support, Sonder’s amenities and services are just a tap away, making a world of better stays open to all.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work directly with real estate owners to lease properties that meet our standards and furnish and decorate the properties to provide a design-led, technology-enabled experience, and then make them available for guests to book through direct channels, such as the Sonder app, our website, or our sales personnel, or through indirect channels, such as Airbnb, Inc. (“Airbnb”), Expedia Group, Inc. (“Expedia”), Booking Holdings Inc. (“Booking.com”), and other online travel agencies (“OTAs”). Additionally, in August 2024, we announced a strategic licensing agreement with Marriott and completed our full integration with Marriott’s digital channels and platform in the second quarter of 2025. As of June 2025, all Sonder properties are available for booking on Marriott's digital channels, including Marriott.com and the Marriott Bonvoy® mobile app, under the new “Sonder by Marriott Bonvoy” collection.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design-focused accommodations come in a variety of shapes and sizes – from a multiple-bedroom apartment with a fully-equipped kitchen and private laundry facilities, to a hotel room or suite. Our diverse product portfolio serves various traveler types, including leisure travelers, families, digital nomads, and business travelers. We manage our properties using proprietary and third-party technologies and deliver services to guests via the Sonder app and 24/7 on-the-ground support.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Guest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strive to deliver a better way to stay through technology and design and put the guest experience at the center of everything we do.</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reimagined the guest journey based on a belief that the ubiquity of mobile devices provides an opportunity to modernize the traveler’s entire stay. Our mobile-first experience, from check-in to check-out, is supported by the Sonder app, regardless of how a guest books their stay. All guests are encouraged to download and use the Sonder app to interact with our services and enhance their stay, but use of the Sonder app is not required.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Sonder app puts the “lobby on your phone” and empowers guests to seamlessly navigate their entire journey. This includes:</w:t>
      </w:r>
    </w:p>
    <w:p>
      <w:pPr>
        <w:spacing w:after="0" w:line="198"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Check-In</w:t>
      </w:r>
      <w:r>
        <w:rPr>
          <w:rFonts w:ascii="Times New Roman" w:cs="Times New Roman" w:eastAsia="Times New Roman" w:hAnsi="Times New Roman"/>
          <w:sz w:val="14"/>
          <w:szCs w:val="14"/>
          <w:color w:val="auto"/>
        </w:rPr>
        <w:t>: Virtual check-in, online receipt of access instructions, and the ability to request a paid early check-in;</w:t>
      </w:r>
    </w:p>
    <w:p>
      <w:pPr>
        <w:spacing w:after="0" w:line="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One-Touch Wi-Fi</w:t>
      </w:r>
      <w:r>
        <w:rPr>
          <w:rFonts w:ascii="Times New Roman" w:cs="Times New Roman" w:eastAsia="Times New Roman" w:hAnsi="Times New Roman"/>
          <w:sz w:val="14"/>
          <w:szCs w:val="14"/>
          <w:color w:val="auto"/>
        </w:rPr>
        <w:t>: In-app, one-touch connections to our speedy Wi-Fi;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Digital Concierge</w:t>
      </w:r>
      <w:r>
        <w:rPr>
          <w:rFonts w:ascii="Times New Roman" w:cs="Times New Roman" w:eastAsia="Times New Roman" w:hAnsi="Times New Roman"/>
          <w:sz w:val="14"/>
          <w:szCs w:val="14"/>
          <w:color w:val="auto"/>
        </w:rPr>
        <w:t>: Curated localized recommendations;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Customer Service On Demand</w:t>
      </w:r>
      <w:r>
        <w:rPr>
          <w:rFonts w:ascii="Times New Roman" w:cs="Times New Roman" w:eastAsia="Times New Roman" w:hAnsi="Times New Roman"/>
          <w:sz w:val="14"/>
          <w:szCs w:val="14"/>
          <w:color w:val="auto"/>
        </w:rPr>
        <w:t>: App-based service requests;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Check-out</w:t>
      </w:r>
      <w:r>
        <w:rPr>
          <w:rFonts w:ascii="Times New Roman" w:cs="Times New Roman" w:eastAsia="Times New Roman" w:hAnsi="Times New Roman"/>
          <w:sz w:val="14"/>
          <w:szCs w:val="14"/>
          <w:color w:val="auto"/>
        </w:rPr>
        <w:t>: In-app requests for paid late check-out and information regarding on- and off-premises baggage storage.</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our guest experience is primarily contactless and self-service, our guest services team can be reached 24/7 through the Sonder app, by telephone, text/WhatsApp, and email. For any requests requiring in-person support, we have local team members on the ground in each of our cities.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also bring a passion for design and creativity to our guests’ experiences. We take pride in the spaces we bring to life through our interdisciplinary teams and external partnerships spanning architecture, product and service design, graphic communications, and more. Our properties have been featured in publications including </w:t>
      </w:r>
      <w:r>
        <w:rPr>
          <w:rFonts w:ascii="Times New Roman" w:cs="Times New Roman" w:eastAsia="Times New Roman" w:hAnsi="Times New Roman"/>
          <w:sz w:val="14"/>
          <w:szCs w:val="14"/>
          <w:i w:val="1"/>
          <w:iCs w:val="1"/>
          <w:color w:val="auto"/>
        </w:rPr>
        <w:t>Apartment Therapy, Condé Nast Traveler, Forbes, Good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Housekeeping, House Beautiful, National Geographic, Rolling Stone, and Travel + Leisure</w:t>
      </w:r>
      <w:r>
        <w:rPr>
          <w:rFonts w:ascii="Times New Roman" w:cs="Times New Roman" w:eastAsia="Times New Roman" w:hAnsi="Times New Roman"/>
          <w:sz w:val="14"/>
          <w:szCs w:val="14"/>
          <w:color w:val="auto"/>
        </w:rPr>
        <w:t>. Fully equipped kitchens, extra living space, and private laundry facilities are available in many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apartment-style spaces, providing our guests a wide variety of options whether traveling for leisure or business, individually or as a group.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had over 9,900 Live Units across 41 cities and nine countries, with over 800 additional Contracted Units. At December 31, 2024, our five largest cities (New York City, Dubai, Montreal, Miami, and London) accounted for 37% of our Live Units, and our 10 largest cities accounted for 60% of our Live Units.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properties include 1-, 2-, and 3+ bedroom and studio furnished apartments, nearly all of which include in-unit laundry appliances and fully stocked kitchens, as well as thoughtfully designed studio and 1-bedroom hotel rooms. The majority of our Total Portfolio (as defined in Part II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consists of commercial or mixed use apartment developments ranging from small 10 or 20 unit buildings to modern 300+ unit towers. Over the past several years, we have gone from leasing portions of buildings to primarily focusing on leasing full buildings. A smaller, but growing, proportion of our Total Portfolio consists of hotels, where we have partnered with independent hotel owners to convert existing properties into Sonder-branded hotels, putting a modern spin on the traditional hotel, with inspiring design and tech-enabled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Optimization Program</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we implemented a portfolio optimization program to mitigate losses related to certain underperforming properties and to assess the Company’s portfolio of rents relative to current operations and existing market rents. As of December 31, 2024, we have signed agreements to exit or reduce rent for approximately 110 buildings, or 4,500 units, as part of our portfolio optimization program. Of the approximately 85 buildings, or 3,300 units, with finalized exit agreements, we had exited approximately 80 buildings, or 3,200 units, as of December 31, 2024. As of June 30, 2025, all 85 buildings, or 3,300 units with finalized exit agreements were exited.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Marriott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2024, we entered into the Marriott Agreement and completed the full Marriott integration in the second quarter of 2025. As of June 2025, all Sonder properties are available for booking on Marriott’s digital channels and platform, including Marriott.com and the Marriott Bonvoy® mobile app, under the new “Sonder by Marriott Bonvoy” collection. Our properties will also continue participating in the Marriott Bonvoy® travel platform. We expect to benefit from revenue opportunities and operating efficiencies through access to Marriott’s global sales organization and third-party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Demand Generation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 a majority of our demand by listing our units on internet-based accommodation marketplaces and on websites operated by OTAs. OTAs are paid a percentage channel fee for each Sonder stay booked on their platform. The primary OTAs that travelers have historically used to book our units are Airbnb, Booking.com and Expedia, with 50.4% and 49.4% of revenue coming through these three OTAs in 2024 and 2023, respectively.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generate a substantial percentage of revenue directly through Sonder.com, the Sonder app, or our sales personnel. Direct bookings accounted for approximately 45.8% and 47.0% of total revenue in 2024 and 2023, respectively. We derive direct bookings from performance marketing, repeat bookings, and other organic traffic on Sonder.com. In the last few years, we have also developed a sales team to focus on corporate and group travel. These are typically significant revenue sources for urban hotels, but have not been a significant revenue source for us historically. Since October 2024, we also sourced a nominal amount of direct demand from the Marriott Bonvoy® travel platform, where Sonder properties were featured with links to Sonder.com for booking stays. Revenue earned through this method is captured in the total direct revenue in 2024.</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revenue management team uses analytics and data science to optimize pricing and occupancy levels. This includes software that enables our revenue managers to set pricing strategies on a market-by-market basis, taking into account the anticipated response of Occupancy Rates to pricing changes. We have built pricing automation technology and a room attribution algorithm, which we use to create competitive and dynamic prices.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Seasonality causes period-to-period variances in a particular property’s operating metrics, such as occupancy and pricing, depending upon seasonal factors, including but not limited to, weather patterns, local events, holidays, and property location and type. Our RevPAR, and thus total company Adjusted FCF, tend to be lower across our portfolio in the first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quarter and fourth quarters of each year due to seasonal factors such as weather and holidays and the market mix and product mix of our portfolio at the time. However, the effect of seasonality will vary as our market mix and product mix continues to evolve. See Item 7. Management’s Discussion and Analysis of Financial Condition and Results of Operations, for more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 and Transaction Process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all of our properties, with a majority of our leases representing fixed leases, whereby we agree to a fixed periodic fee per unit that may be subject to negotiated rent escalations. We also offer flexible contract structures, including mixed lease structures, whereby we agree to pay the real estate owner a minimum fixed periodic fee, plus a certain share of property revenue, at times with a capped periodic amount, as well as revenue share agreements, whereby we agree to pay the real estate owner a variable fee based on revenue related metrics as specified in the agreement, rather than a fixed periodic fee.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majority of our property leases have 4- to 7-year initial terms, with up to two 5-year renewals at our option. Our leases commonly include an upfront rent abatement to offset the initial setup costs and revenue ramp for new units. They also frequently include downside protections, including partial rent relief in the event of a recession, regulatory changes, and force majeure events.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many of our leases have an upfront allowance paid by the real estate owner to help offset the capital invested to prepare and furnish the individual units and build common spaces. We are able to negotiate these allowances by offering real estate owners a higher expected yield on their investment, through future lease payments, compared to a deal without an allowance.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teams focus on servicing our guests, opening new Sonder locations, and providing best practice playbooks for ongoing operations. Our day-to-day operations are delivered by central and locally based teams, powered by a combination of proprietary and third-party software to address guest inquiries, issues, and requests quickly and effectively. Back-of-house teams such as housekeeping - both Sonder-employed and third-party providers - use software to deliver clean spaces and resolve any guest issues or requests that might arise. Our highly experienced on-the-ground openings teams focus on onboarding new properties quickly and efficiently, ensuring that the spaces are immaculately set up and well-photographed.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intense competition in all areas of the hospitality industry. Given the nature of our business model, we operate in two highly competitive environments: (i) attracting guests and (ii) securing desirable real estate supply.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Competition for Guests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Travelers have many options as they search for a stay that best suits their needs. We compete for guests based on many factors, including the location and quality of accommodations, property amenities, pricing, and brand loyalty. Within traditional hospitality, we have historically competed primarily with major incumbent operators in the upscale and upper upscale hotel segments. We also compete against boutique hotel operators and smaller hotel chains, particularly in non-U.S. markets. Within alternative accommodations, we compete with a wide variety of operators, many of which focus on a small number of markets. The alternative accommodation space also includes OTAs such as Airbnb, Vrbo, Booking.com, and other marketplaces, and various large internet-based companies that advertise vacation homes, home-shares, hotel rooms, and other travel services. While OTAs market and list competitors’ accommodations, they are also important channel partners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Competition for Real Estate Supply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compete against various parties to lease potential new properties. For our apartment-style properties, we compete against other leasing styles (e.g., traditional leases with up to 12-month term tenants) as well as other short-term rental companies with similar business models to our own. For our hotel properties, we primarily compete against traditional hotel property managers. We believe that we offer a compelling value proposition to the developers and owners of apartments and hotels. We provide apartment developers potentially superior economics by eliminating lengthy lease-up periods, minimizing sales and marketing costs, simplifying rent collections from a single master lessee, and removing many daily operational burdens. For independent hotel owners, we offer a steady stream of income while taking the operational headaches off their hands and applying technology and design to improve the property’s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Compliance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includes rigorous attention to regulatory compliance, as our operations are subject to regulations in the following principal areas and across a variety of jurisdictions.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Accommodations Regulation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is subject to foreign and U.S. federal, state, and local laws and regulations that vary widely by city, country, and property type. In many cities, local regulations affect our ability to offer accommodations for specified durations or in certain neighborhoods. Hospitality and transient accommodations operations are also subject to compliance with laws, regulations, and standards relating to accessibility, zoning and land use, licensing, permitting and registrations, fire and life safety, environmental and other property condition matters, staffing and employee training, cleaning protocols, and property “star” ratings where required. Additionally, our real estate owners are responsible for their own compliance with laws, regulations, and standards, including with respect to their employees, property maintenance, operations, environmental laws, and other matters.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Before signing any new leases in a new market, we engage local legal counsel to help identify relevant regulatory requirements. This research includes analysis on licensing and zoning, building code, accessibility and operations requirements, fire and life safety regulations, tax compliance, and local employment laws. Every leased property has unique characteristics, requiring further due diligence and regulatory analysis prior to entry into the lease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Privacy and Data Protection Regulation</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ordinary course of our business, we process personal or sensitive data, including information about guests and their stays. Accordingly, we are subject to numerous obligations related to our collecting, processing, and securing data, including federal, state, local, and foreign laws, regulations, guidance, and industry standards related to data privacy, security, and protection. Such obligations may include the European Union’s General Data Protection Regulation (“EU GDPR”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and variations and implementations of that regulation in the member states of the European Union, the United Kingdom (“UK”) General Data Protection Regulation (“UK GDPR”) (collectively with the EU GDPR, the “GDPR”), the Canadian Personal Information Protection and Electronic Documents Act (“PIPEDA”), as well as privacy, biometric, medical information, and data protection laws and regulations in various U.S. states and other jurisdictions, such as the California Consumer Privacy Act of 2018, as amended by the California Privacy Rights Act of 2020 (collectively, with their implementing regulations, the “CCPA”).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Laws and Regulations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subject to laws governing our relationship with employees, including laws governing wages and hours, benefits, immigration, workplace safety and health, and hotel-specific ordinances.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Accounting, and Nasdaq Regulation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subject to laws and regulations affecting corporate governance, accounting obligations, and corporate reporting, including the Exchange Act, the applicable requirements of the Sarbanes-Oxley Act of 2002 (the “Sarbanes-Oxley Act”), the rules and regulations of the SEC, and the listing standards of Nasdaq.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Regulation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is subject to various other laws and regulations, involving matters such as income tax and other taxes, consumer protection, online messaging, advertising, and marketing, the U.S. Foreign Corrupt Practices Act of 1977 (the “FCPA”) and other laws governing bribery and other corrupt business activities, and regulations aimed at preventing money laundering or prohibiting business activities with specified countries or persons.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regulatory environment in each market is often complex and evolving and can be subject to significant change. Some relevant laws and regulations are inconsistent and ambiguous and could be interpreted by regulators and courts in ways that could adversely affect our business, results of operations, financial condition, and cash flows. Moreover, certain laws and regulations have not historically been applied to an innovative hospitality provider such as Sonder, which often makes their application to our business uncertain. For additional information regarding the laws and regulations that affect our business, see the section entitled “Risk Factors”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understand the importance of responsible business practices across the organization, including attention to ESG matters. Our ESG goal is to foster the social, environmental, and economic well-being of the communities we call home. Initial efforts include, among others, the publication of core corporate social responsibility policies, such as a Supplier Code of Conduct, Diversity, Equity, and Inclusion Statement, Modern Slavery Act Statement, and Zero Tolerance policy reflected in the “house rules” applicable to guest stays. We have also implemented a policy granting time-off to permit employees to engage in local U.S. elections, and a Volunteer Time Off Policy to facilitate employee volunteering.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Culture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we had 704 employees in the United States (“U.S.”), and 717 employees located in 13 countries outside of the U.S. Our workforce consisted of 923 salaried and 498 hourly employees as of that date. Certain non-U.S. employees are currently represented by unions or covered by a collective bargaining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Culture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people philosophy is to create a workplace where everyone can thrive. Our culture is defined by ten leadership principles, which are designed to ignite more innovation, encourage agility and strategic thinking, keep us inspired and coordinated, and be a better place to work.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Hospitality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“Extend hospitality to all” is one of our leadership principles. Living up to that principle means embracing different backgrounds and perspectives so that all of our employees, guests, partners, and communities feel safe, respected, included, cared for, and empowered. In accordance with our employment practices and non-discrimination and harassment policy, Sonder strives to create and maintain a work environment in which people are treated with dignity, decency, and respect, and is committed to providing a workplace free from discrimination, harassment, racism, sexism, intimidation, or violence of any 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rely on trademarks, domain names, copyrights, trade secrets, contractual provisions, and restrictions on access and use to establish and protect our proprietary rights.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we had 102 trademark registrations and pending applications. This includes registrations for ‘Sonder’ in the United States, Canada and various other countries; applications and registrations for the Sonder bird logo in 27 countries; three registrations for ‘SONDER’ in China; and one application and one registration for ‘SANG DU in Chinese Characters’ in China.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trademark protection, we reserve and register domain names when and where deemed appropriate and are the registered holder of 86 domain names, including “sonder.com.”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protection provided by our intellectual property rights, we enter into confidentiality and proprietary rights agreements with certain of our employees, consultants, contractors, and business partners. Certain employees and contractors are also subject to invention assignment agreements. We further control the use of our proprietary technology and intellectual property through provisions in the terms of use on our website and guest app.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were originally incorporated in Delaware on July 21, 2020 under the name “Gores Metropoulos II, Inc.” as a special purpose acquisition company, formed for the purpose of effecting an initial business combination with one or more target businesses. On January 22, 2021, we consummated our initial public offering. On January 18, 2022, we consummated a business combination with Sonder Operating Inc. f/k/a Sonder Holdings Inc. (“Legacy Sonder”), a privately held operating company (the “Business Combination”), and changed our name to Sonder Holdings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 Considerations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accordance with ASC Topic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to the consolidated financial statements included in this Annual Report on Form 10-K, the Company has, throughout 2025, announced certain financing and investment arrangements. While the 2025 actions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with Marriott’s digital channels and platform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plans to address the substantial doubt about the Company’s ability to continue as a going concern, as described above, include the following actions:</w:t>
      </w:r>
    </w:p>
    <w:p>
      <w:pPr>
        <w:spacing w:after="0" w:line="20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execute our portfolio optimization program to mitigate losses related to certain underperforming properties and to assess the Company’s portfolio of rents relative to current operations and existing market rents; and</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its financial performance through the potential to increase revenue by integrating with Marriott’s commercial engine and deliver costs savings.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website is www.sonder.com. We make available, free of charge, various information for investors on the Investor Relations page of our website, investors.sonder.com,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 We also use the Investor Relations page of our website for purposes of compliance with Regulation FD and as a routine channel for distribution of important information, including blogs, news releases, investor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You should carefully review and consider the following risk factors and the other information contained in this Annual Report on Form 10-K and our other filings with the SEC in making an investment decision. Our business, results of operations, financial condition, and cash flows could also be harmed by risks and uncertainties not currently known to us or that we currently do not believe are material. If any of the risks actually occur, our business, results of operations, financial condition, and cash flows could be adversely affected, the market price of our common stock or other publicly traded securities could decline, and you could lose part or all of your investment. The occurrence of one or more of the events or circumstances described in these risk factors, alone or in combination with other events or circumstances, may have a material adverse effect on our business, results of operations, financial condition, and cash flows. The risks discussed below may not prove to be exhaustive and are based on certain assumptions made by us that later may prove to be incorrect or incomplete.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of the risk factors that could materially harm our business, results of operations, financial condition, and cash flows, or cause the price of our publicly traded securities to decline.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summary does not address all of the risks that we face.</w:t>
      </w:r>
    </w:p>
    <w:p>
      <w:pPr>
        <w:spacing w:after="0" w:line="185" w:lineRule="exact"/>
        <w:rPr>
          <w:sz w:val="20"/>
          <w:szCs w:val="20"/>
          <w:color w:val="auto"/>
        </w:rPr>
      </w:pPr>
    </w:p>
    <w:p>
      <w:pPr>
        <w:ind w:left="520" w:hanging="260"/>
        <w:spacing w:after="0" w:line="263" w:lineRule="auto"/>
        <w:tabs>
          <w:tab w:leader="none" w:pos="48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unsuccessful in achieving positive and sustainable Adjusted FCF, and our restructuring initiatives, our portfolio optimization program, and any other cost-saving initiatives may not provide the expected benefits and may adversely affect our business.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results may differ materially from our forecasts and projections, which are based upon assumptions, analyses, and estimates developed by our management.</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could be negatively affected by macroeconomic factors and by changes in travel, hospitality, and real estate markets.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anticipated benefits from the Marriott Agreement and it may result in exposure to other risks and uncertainties.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negotiate satisfactory leases or other arrangements to operate new properties, amend existing leases, onboard new properties in a timely manner, or renew existing properties on satisfactory terms or at all.</w:t>
      </w:r>
    </w:p>
    <w:p>
      <w:pPr>
        <w:ind w:left="520" w:hanging="260"/>
        <w:spacing w:after="0" w:line="253" w:lineRule="auto"/>
        <w:tabs>
          <w:tab w:leader="none" w:pos="5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real estate development and construction projects could adversely affect our ability to generate revenue and newly leased properties and may be more difficult or expensive to integrate into our operations than expected.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and evolving business make it difficult to predict and evaluate our forecasts.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losses, and we may not be able to achieve or maintain profitability or positive cash flow in the future.</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landlords to deliver properties in a suitable condition and to manage and maintain them.</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and litigation relating to our leases and portfolio optimization program have resulted in and could again result in significant losses, damage to landlord relationships, slower than expected expansion, and lower revenues.</w:t>
      </w: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long-term and fixed-cost leases may limit our operating flexibility and could adversely affect our performance.</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leases have been and in the future may be subject to termination prior to the scheduled expiration of the term, which could be disruptive and costly.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susceptible to risks associated with international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attract new guests or generate repeat bookings from previous guests.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acceptance by guests and property owners of our distinctive type of hospitality services.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the highly competitive hospitality market.</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49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relationships with third-party distribution channels, and if such third parties do not perform adequately or terminate or modify their relationship with us, our business could be adversely affected.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vary from period-to-period, and historical performance may not be indicative of future performance.</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measures we use to evaluate our operating performance are subject to inherent challenges in measurement and may be subject to future adjustments.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reputation and the strength of our brand, and we could be adversely affected by any deterioration.</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involved in and may in the future become involved in claims, lawsuits, and other proceedings that could adversely affect our performance.</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and may in the future be subject to liability or reputational damage for guest activities or other incidents at our properties.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claims and liabilities with potential health and safety issues and hazardous substances at our properties.</w:t>
      </w:r>
    </w:p>
    <w:p>
      <w:pPr>
        <w:spacing w:after="0" w:line="23"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risk of financial and reputational damage due to fraud.</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key personnel and highly skilled personnel, which include challenges in attracting, retaining, motivating, and our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associated with the employment of hospitality personnel, including unionized labor and the use of third-party contractors.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4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and may again identify material weaknesses in our internal controls over financial reporting or we may otherwise fail to maintain an effective system of internal controls, which may result in material misstatements of our consolidated financial statements.</w:t>
      </w: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effective disclosure controls, our ability to produce timely and accurate financial statements or comply with applicable regulations could be impaired.</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the restatement of our previously issued financial statements and financial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ineligible to use certain registration statements to register the offer and sale of securities, which could have adverse effects on our ability to raise capital and retain employees.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third-parties for services and technologies and any defects or failures in these services or technologies, or any difficulties integrating them into our systems, could harm our business.</w:t>
      </w: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processing of sensitive data exposes us to risks of internal or external security breaches and incidents and have given rise and could give rise to adverse consequences.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capacity constraints or operational failures could materially adversely affect us.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interruptions may increase our costs or reduce our revenues.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insurance may be inadequate to cover our losses related to liability claims.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the risks of natural disasters, geopolitical conflicts, public health concerns, and other catastrophic events.</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contains third-party open-source software components, which have certain requirements and restrictions.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our brand and other intellectual property.</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relating to the opening, operation, and maintenance of our leased properties could be higher than anticipated.</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properties are concentrated in a limited number of cities, which increases our exposure to local factors affecting demand or hospitality operations.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fluctuations in currency exchange rates.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introduce upgraded amenities, services, or features for our guests in a timely and cost-efficient manner.</w:t>
      </w:r>
    </w:p>
    <w:p>
      <w:pPr>
        <w:spacing w:after="0" w:line="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 could harm our future operating results.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tax laws in various jurisdictions that could materially affect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tax attributes may be limited due to prior and potential future ownership changes.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47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governmental regulations, such as securities regulations, anti-bribery laws, import/export controls (including sanctions), privacy, data protection, consumer protection, marketing, and advertising laws could adversely affect us.</w:t>
      </w: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substantial doubt about our ability to continue as a going concern, and this may adversely affect our stock price and operations.</w:t>
      </w:r>
    </w:p>
    <w:p>
      <w:pPr>
        <w:spacing w:after="0" w:line="8"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previously and may again require additional capital, which might not be available in a timely manner or on favorable terms.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0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and credit facilities contain financial covenants and other restrictions that may limit our financial and operational flexibility or otherwise adversely affect our results of operations.</w:t>
      </w: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in compliance with Nasdaq’s listing requirements, and any failure to regain and maintain compliance with Nasdaq’s requirements could cause our common stock and publicly traded warrants (the “Public Warrants”) to be delisted and could adversely affect us.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and trading volume of our common stock and Public Warrants may be volatile and could decline significantly.</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outstanding shares of the Series A Preferred Stock (the “Preferred Stock”) and the holders thereof have certain special rights that may accompany any future issuance of shares of Preferred Stock that may adversely affect the voting power or value of our common stock.</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Warrants may never be in the money and may expire worthless.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Public Warrants may be amended to be adverse to the holders and may be redeemed prior to exercise at a price that is disadvantageous to the holders.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unsuccessful in achieving positive and sustainable Adjusted FCF, and our restructuring initiatives, our portfolio optimization program, and any other cost-saving initiatives may not provide the expected benefits and may adversely affect our business.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 primary focus is to put the business on a solid path to achieving sustainable positive Adjusted FCF as soon as possible (the “Cash Flow Positive Plan”) (as further described in Part II, Item 7). The Cash Flow Positive Plan has included a restructuring of operations, with a reduction in corporate and frontline headcount in June 2022, as well as further reductions in corporate headcount in 2023, 2024, and 2025. We have previously conducted staff furloughs and reductions, lease exits, and other cost-saving actions due to macroeconomic factors, and we may undertake other initiatives in the future to achieve and sustain positive Adjusted FCF. As part of our focus on cash flow, we have also undertaken a portfolio optimization program, which has involved, and is expected to continue to involve renegotiating the terms of our leases and the non-payment of rent primarily at certain underperforming properties. These efforts have resulted, and are expected to result, in the termination of certain leases, leading to exits of certain properties over time and the incurrence of expenses, including but not limited to impairment charges and contingent obligations, which could be material. The scope of the portfolio optimization program may change over time, and we cannot predict the number or product mix of the units that may be ultimately affected or the related impact on our business, results of operations, financial condition, and cash flows. The terms, scope, and timing of any additional changes to our lease obligations, as well as any other effects on our landlord relationships or reputation with future real estate owners and guests who are affected by property transitions, are uncertain. Additionally, in April 2025, we implemented approximately $50 million of annualized cost reductions enabled by our integration with Marriott. Our portfolio optimization program, and any past or future restructuring or cost-saving initiatives, may not achieve our goal of achieving positive Adjusted FCF, result in the cost savings we expect, or otherwise achieve our cash flow, profitability, or operational objectives.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implementing any restructuring or cost-saving initiative, including the portfolio optimization program, presents potential risks that may impair our ability to achieve anticipated cost reductions, revenue enhancements, or operational improvements. These risks include the potential for inadequate support of important business functions due to staffing changes and other cost reduction efforts, management distraction from ongoing business activities, potential failure to maintain adequate controls and procedures while executing our plans, and damage to our reputation and brand image with real estate owners, potential guests, and others. Additionally, as a result of restructuring initiatives, we may experience a loss of continuity and accumulated knowledge, as well as adverse effects on employee morale, productivity, and our ability to attract and retain highly skilled employees. Employee attrition and difficulties in recruiting could, among other things, impair our ability to maintain and enhance our internal controls and procedures, complicate our efforts to pursue new RevPAR initiatives, execute effectively on engineering and technology development projects, cause inefficiencies, and make it more difficult to pursue, open, and operate new properties. Any of the above consequences could adversely impact our business, and we may not achieve positive Adjusted FCF when we anticipate, or at all.</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forecasts and projections are based upon assumptions, analyses, and estimates developed by our management. If these assumptions, analyses, or estimates prove to be incorrect or inaccurate, our actual results may differ materially from those forecasted or projected.</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forecasts and projections, including projected or anticipated revenues, margins, profitability, cash flows, Bookable Nights (as described in Part II, Item 7), RevPAR, Contracted Units, and Live Units, and our anticipated market opportunity, growth, and penetration, are subject to significant uncertainties and are based on assumptions, analyses, and estimates developed by our management, including with reference to third-party forecasts, any or all of which may prove to be incorrect or inaccurate. These include assumptions, analyses, and estimates about future pricing and Occupancy Rates; the anticipated cost savings, and other benefits of our Cash Flow Positive Plan; the anticipated benefits of the Marriott Agreement; and the scope and outcome of our portfolio optimization program, including the number and type of properties involved, the terms of lease amendments, the timing of lease terminations, and related expenses. Other assumptions include the type and size of future properties, the timing of lease signings, building openings, the satisfaction of conditions or contingencies in signed leases, local regulatory environments, the terms of future leases, and future costs, all of which are subject to a variety of business, regulatory, and competitive risks and uncertainties. If these assumptions, analyses, or estimates prove to be incorrect or inaccurate, we may have difficulties accurately budgeting for and managing our expenses, and our actual results may differ materially from those forecasted or projected.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revenue, expenses, and operating results could be materially adversely affected by changes in travel, hospitality, and real estate markets, as well as general economic conditions such as an economic downturn or recession.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is particularly sensitive to trends in the travel, hospitality, and real estate markets, and trends in the general economy, which are unpredictable. Travel, including demand for accommodations, is highly dependent on discretionary spending levels. As a result, hospitality sales tend to decline during general economic downturns, recessions, and times of political or economic uncertainty, as consumers engage in less discretionary spending, are concerned about unemployment or inflation, have reduced access to credit, or experience other concerns or effects that reduce their ability or willingness to travel. Leisure travel in particular, which we believe accounts for a majority of our bookings, is dependent on discretionary consumer spending levels. Downturns in worldwide or regional economic conditions or inflationary pressures have in the past led to a general decrease in leisure travel and travel spending, and similar downturns or inflationary pressures in the future may materially adversely impact demand for our accommodations. Such a shift in consumer behavior could materially and adversely affect our business, results of operations, financial condition,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the impact of economic conditions, our business could be adversely affected by other factors that cause reductions in travel, such as:</w:t>
      </w:r>
    </w:p>
    <w:p>
      <w:pPr>
        <w:spacing w:after="0" w:line="20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concerns or other public health crises;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hostilities, war, terrorist attacks or civil unrest;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Immigration policies and other governmental restrictions on residency and travel;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travel- or hospitality-related taxes or surcharges by regulatory authorities;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stoppages or labor unrest at a potential travel destination;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or international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adverse weather conditions;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regulations, policies, or conditions related to sustainability, including climate change, and the impact of climate change on seasonal destinations.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affecting demand, economic downturns, rising interest rates, rising construction costs, and other adverse developments in real estate markets may result in decreases in new construction starts, property conversions and renovations, and increases in foreclosures, which could result in fewer units available for leasing. Any or all of these and other factors could reduce the demand for our services and the supply of new units, which could reduce our revenue. The above factors could also require higher marketing and other costs to attract guests, and could result in less favorable terms for new leases, which would increase our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the anticipated benefits from the Marriott Agreement and it may expose us to other risks and uncertainties.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August 19, 2024, we announced that we entered into the Marriott Agreement, pursuant to which our portfolio of properties is expected to join the Marriott system under a new collection called “Sonder by Marriott Bonvoy.” Although we currently anticipate that the Marriott Agreement will provide us with incremental revenue opportunities and operating efficiencies, we may not realize the anticipated benefits at the time, or to the degree we anticipate, or at all. The Marriott Agreement may not result in the revenue enhancements that we currently expect for various reasons, such as possible differences in the preferences and demographics of our and Marriott’s existing and future guests, potential competition among various Marriott brands for guest demand and attention, the uncertain impact on our revenues of integration with Marriott’s guest loyalty program, and other factors. While we have fully integrated with Marriott as of June 2025, we are completing certain engineering and process improvements relating to this integration. If these improvements take longer than anticipated, or if we face additional challenges post-integration, we may not realize the full benefits, including revenue, that we expect from our relationship with Marriott. In addition, the fees which we are required to pay Marriott may be higher than anticipated. We must also comply with specified Marriott standards and other conditions and requirements. Failure to successfully implement or comply with the Marriott Agreement could reduce the number of properties integrated into Marriott’s platforms; increase our costs; result in termination of the Marriott Agreement; adversely affect our brand, reputation, and relationships with property owners and other current or potential business partners; or have other adverse effects on us.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Marriott Agreement has an initial term of 20 years after the initial onboarding date, subject to possible extensions, and our rights to terminate the agreement are limited. In addition, the Marriott Agreement requires us to open new properties only if they are included under the Marriott Agreement, subject to limited exceptions. The potentially long-term nature of the Marriott relationship poses additional risks to our business and prospects. Particularly after we have integrated properties into Marriott’s systems and platforms, have invested in the integration process, and have realigned our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technologies, staffing, and guest relationships and interactions, we may find it difficult to operate properties or build or maintain guest loyalty outside of the Marriott relationship in the future, even if permitted under the Marriott Agreement or after it has been terminated. Among other termination provisions, the Marriott Agreement may be terminated by Marriott or us upon any transfer of 50% or more of the ownership interests in or day-to-day management of our portfolio of properties or of our company, other than to a controlled affiliate, subject to the payment of certain fees. These provisions could make it more complicated to accomplish, or could deter, transactions that stockholders may otherwise consider to be in their best interests. Our relationship with Marriott may also make it more difficult to enter into a similar strategic relationship with a different hospitality industry partner in the future.</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successfully negotiate satisfactory leases or other arrangements to operate new properties, amend existing leases, onboard new properties in a timely manner, or renew existing properties on satisfactory terms or at all, any of which may limit our business and could cause us to miss our financial forecasts.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currently lease all of our locations. When we identify attractive locations for operations, we pursue additional units by signing new leases, or less frequently, adding units to existing leases. If we fail to secure or renew leases or other arrangements for properties, we will not be able to expand our portfolio of properties and may not achieve our financial forecasts.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not be able to add sufficient properties to our portfolio that meet our brand standards, at an acceptable cost and on acceptable terms, to meet our strategic goals and financial forecasts. Due to the number of properties that we have already secured under leases or other arrangements in many major U.S. and Canadian cities, we may find it more difficult to find additional attractive properties in those markets. In Europe and other international markets, we have less experience and fewer real estate personnel, and local regulations and real estate industry practices may make it more difficult to locate properties that are strategically aligned with our business model. Increases in interest rates, inflation in construction and other costs, and concerns about a recession have caused and may in the future cause some property developers to delay or abandon development projects that we would otherwise seek to add to our portfolio. Even where we identify suitable properties, we may not be able to negotiate leases or other arrangements on commercially reasonable terms. Real estate owners may not accept our proposed terms, including due to our focus on signing agreements with lower capital expenditure obligations and quick payback timeframes. In addition, certain real estate owners may defer or forego discussions with us until they have more information about the impact of the Marriott Agreement and the potential implications for new leases that we may pursue. We may also have difficulties in providing real estate owners with acceptable letters of credit in lieu of cash deposits, and these difficulties may intensify due to any adverse developments affecting our letter of credit providers. Any such difficulties may result in higher cash outlays for lease security deposits, delays in signing leases as alternative sources of security are sought, or additional complications in signing leases in a timely manner. Certain real estate owners have been and may continue to be reluctant to enter into or continue transactions with us due to the decline in our stock price, our September 2023 reverse stock split to regain compliance with Nasdaq’s minimum bid price rule, the delay in our SEC reports resulting from our accounting restatement announced in March 2024, our portfolio optimization program and the resulting lease amendment, terminations, and property exits, potential concerns related to our ability to continue as a going concern, and related concerns of owners or their lenders about our creditworthiness, future cash position, or ability to raise capital.</w:t>
      </w:r>
    </w:p>
    <w:p>
      <w:pPr>
        <w:spacing w:after="0" w:line="1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Competition for attractive properties can be intense, and competitors may offer owners and developers more attractive terms. We also have relatively little experience with alternatives to traditional leases, which may make it more difficult for us to secure properties where the owner or developer prefers a management agreement or other occupancy arrangement.</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Furthermore, our ability to extend an expiring lease on favorable terms will depend on then-prevailing conditions in the real estate market, such as overall rental cost increases, competition from other would-be tenants for desirable leased spaces, our relationships with current and prospective building landlords, real estate owners’ perceptions of our creditworthiness and prospects, and other potential factors that are not within our control. For example, in markets where the prevailing rents for apartments have been increasing, real estate owners may also believe that, compared to the terms that we offer, they can achieve a superior return through more traditional individual tenancies. If we are not able to renew an expiring lease, we have incurred losses and may in the future lose the opportunity to generate additional revenue from that space and have incurred costs and may in the future incur costs related to vacating it. If we renew a lease with higher than expected rent or on terms that are otherwise less favorable to us than expected, our profitability and cash flow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Delays in real estate development and construction projects related to our leases could adversely affect our ability to generate revenue, and newly leased properties may be more difficult or expensive to integrate into our operations than expected.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is also subject to property development risks. We often enter into arrangements with property developers to lease all or a portion of a building that is being built or converted for housing accommodations. Even where a project proceeds as planned, it can be many months or even years before the leased property is completed and Live Units become available for guest booking. In addition, the commitments of owners and developers under these arrangements are subject to various conditions and the completion of such development and construction projects are subject to numerous risks, including, the owner’s or developer’s ability to obtain adequate financing, costs of construction materials or labor, and governmental or regulatory approvals. Increases in interest rates and inflation in construction and other costs, have caused and may in the future cause some property owners and developers to have difficulty financing, refinancing, or completing projects for properties that we plan to lease. We have experienced unforeseen terminations of and delays in the readiness of property developments, and we expect to encounter similar events in the future. As a result, certain Contracted Units may not develop into new sources of revenue when we anticipated or at all.</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Even when we succeed in signing a lease for a new property, the owner or developer may be unable or unwilling to deliver the property in a timely manner or in the agreed condition, or we may encounter other unforeseen delays in preparing the property for initial guest bookings (a process we refer to “building opening”). Delays in building openings may occur due to supply chain shortages including fixtures, furnishings, and other materials, delays in governmental permits and approvals, delays in financing, labor shortages, or the unavailability of construction materials or contractors. Later or longer than expected building openings at properties also results in a delay in generating revenue from such properties, which could cause us to miss our financial forecasts or goals. In addition, the success of any new property will depend on our ability to integrate the property into existing operations and into Marriott’s programs and systems under the Marriott Agreement, which is subject to uncertainties including potential difficulties in integrating guest-facing and back-office systems or in engaging third-party vendors to service the properties. Newly leased properties could be more difficult or expensive to onboard, have undisclosed conditions that result in unanticipated expenses or claims against us for which we may have little or no effective recourse against the landlord, or otherwise may not provide their anticipated benefits.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and evolving business make it difficult to predict whether we will achieve our financial, operating, and growth forecasts.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continues to evolve. We have expanded significantly since our inception, including the number of cities and countries in which we operate. After initially focusing on apartment-style units, we now also operate hotel properties that have more extensive and complex amenities and systems. We have also focused our expansion efforts on leasing full buildings or larger numbers of units or floors within a property. In addition, we have operated some of our leased properties for a limited period of time, and their early results may not be indicative of their long-term performance. For example, a small portion of units available for guest bookings as of December 31, 2024, which we refer to as “Live Units”, had been live for less than one year. At hotels whose former operators have relied heavily on group and corporate bookings, we have experienced and may continue to experience longer than expected revenue ramp-up periods, and we expect to devote more resources to sales efforts at future hotels. Our relatively limited operating history and evolving business make it difficult to evaluate the likelihood that we will achieve our financial, operating, and growth forecasts, and to predict and plan for the risks and challenges we may encounter. These risks and challenges include our ability to:</w:t>
      </w:r>
    </w:p>
    <w:p>
      <w:pPr>
        <w:spacing w:after="0" w:line="168"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our revenue and budget for and manage our expenses, particularly at new buildings or in new markets;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Onboard new, high-quality units in a timely and cost-effective manner;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Marriott Agreement and potential exposure to related risks and uncertainties;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Keep Live Units available for booking and reduce nights lost to repairs or other interruptions;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implement new systems and processes;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Contracted Units and new signings into our and Marriott’s systems and processes;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laws and regulations applicable to our business;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current and future properties, such as the refreshment of units, and manage relationships with landlords, developers, service providers, and other partners;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fluctuations in travel and tourism, and other changes in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our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expand our geographic reach;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fail to address these risks and challenges, our business, results of operations, financial condition, and cash flows could be adversely affected. Further, because we have limited historical financial data and operate in a rapidly evolving industry, any predictions about future revenue and expenses may not be as accurate as they would be if we had a longer operating history or operated in more predictable markets. If we do not address these risks successfully, or if our assumptions regarding these risks and uncertainties, which are used to plan and operate our business, are incorrect or change, our results of operations could differ materially from expectations and our business, results of operations, financial condition, and cash flows could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may not be able to achieve or maintain profitability or positive cash flow in the future.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incurred net losses and negative cash flow each year since our inception, and we may not be able to achieve or maintain profitability or positive cash flow in the future. We incurred substantial net losses over the past several years, resulting in an accumulated deficit of $1.6 billion at December 31, 2024. We also had negative cash flow from operating activities of $129.2 million and $110.9 million for the years ended December 31, 2024 and 2023, respectively. These efforts may be more costly than expected and may not result in expected increases in revenue or growth in our business, which would impair our ability to achieve or maintain profitability or positive cash flow. Our Cash Flow Positive Plan, our portfolio optimization program, and the Marriott Agreement may not provide the cash flow, revenue improvement, cost savings, or other benefits that we anticipate.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generally lease properties under multi-year arrangements, but guest revenues are generated through stays that currently average less than a week. Any failure to increase our revenue sufficiently to keep pace with the fixed components of our lease obligations, investments, and other expenses could prevent us from achieving or maintaining profitability or positive cash flow on a consistent basis or at all. If we are unable to successfully address these risks and challenges, our business, results of operations, financial condition, and cash flows would be adversely affected.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landlords for certain maintenance and other significant obligations related to our properties, and any failures in this area could hurt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own any of our properties and manage and operate them under leases with third-party landlords. At some properties, our guest units comprise only a portion of the building and common areas and amenities are shared with other tenants or unit owners. We often have limited control over the common areas and amenities of buildings in which our units are located. In addition, we depend on our landlords to deliver properties in a suitable condition and to perform important ongoing maintenance, repair, and other activities with respect to common areas, amenities, and building systems such as plumbing, elevators, electrical, and fire and life safety. If our landlords do not fulfill their obligations or fail to maintain and operate their buildings appropriately, we could be subject to claims by guests and other parties, and our business, reputation, and guest relationships may suffer.</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Disputes and litigation relating to our leases and our portfolio optimization program have resulted in and could again result in significant losses, damage to landlord relationships, slower than expected expansion, and lower revenues.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nature of our rights and responsibilities under our leases may be subject to interpretation, and our leasing relationships will from time to time give rise to disagreements, which have included and may include disagreements over the timing and amount of capital investments or improvements, requests by us or our landlords to amend leases, rent obligations and abatement rights, operational and repair responsibilities, liability to third parties, a party’s right to terminate a lease, and reimbursement for certain renovations and costs. For example, we have experienced actual and threatened claims and legal proceedings initiated by property owners in connection with proposed lease amendments or terminations arising from our portfolio optimization program, and we may experience additional claims and proceedings.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seek to resolve any disagreements and develop and maintain positive relations with current and potential landlords, but we cannot always do so. Failure to resolve such disagreements has resulted in litigation in the past and could result in litigation in the future. Disputes may be expensive to litigate, even if the outcome is ultimately in our favor. We cannot predict the outcome of any litigation. An adverse judgment, settlement, or court order in a proceeding could cause significant expenses and constraints in our business operations and expansion plans. We are unable to predict the outcome of litigation or our ultimate responsibility for any adverse outcome. Even any litigation is resolved favorably, legal proceedings have required and may continue to require substantial management attention and significant legal fees and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long-term and fixed-cost nature of our leases may limit our operating flexibility and could adversely affect our liquidity and results of operations.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currently lease all of our properties and are committed for the leases’ terms, generally without the right to early termination. Our obligations to landlords under these agreements extend for years, while we do not have a corresponding source of guaranteed revenue because guests typically stay for less than a week at our properties.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leases generally provide for fixed monthly payments that are not tied to Occupancy Rates or revenues, and our leases typically contain minimum rental payment obligations. We sometimes offer landlords lower minimum payments in return for a share of the property’s revenues, or other variable terms, but those currently represent a small portion of our portfolio, and we may be unsuccessful in securing variable or participating lease terms. There can be no assurance that we will be able to sign and operate successfully under leases with revenue-sharing or other variable terms. As a result of our fixed lease expenses, if we are unable to maintain sufficient Occupancy Rates and pricing, our lease expenses may exceed our revenue. For example, in an environment where the prevailing cost of accommodations may be decreasing, we may not be able to lower our fixed monthly payments under our leases at rates commensurate with the rates at which we would be pressured to lower our guest rates, which may also reduce our margins and cash flow. In any such event, we may be unable to reduce our rent under the lease or otherwise terminate the lease in accordance with its terms.</w:t>
      </w:r>
    </w:p>
    <w:p>
      <w:pPr>
        <w:spacing w:after="0" w:line="3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limited flexibility to rapidly alter our portfolio of properties and our lease commitments in response to changing circumstances. Leases require substantial time to negotiate and are typically multi-year commitments that can only be revised or terminated with the landlord’s agreement. In addition, some of our leases require the landlord’s consent to assign the lease or sublease the property, which may not be granted or may be granted only on unfavorable terms. Even if we are able to assign or sublease an unprofitable property, we may incur significant costs, including transaction costs associated with finding and negotiating with potential transferees, upfront payments or other inducements, costs to restore the property to its previous condition, and other costs to exit the property.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leases have been and may in the future be subject to termination before their scheduled expiration, which could be disruptive and costly.</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leases have been and in the future may be subject to termination before they are scheduled to expire, including the bankruptcy of a developer or landlord, noncompliance with underlying covenants governing the property, or the failure to meet specified financial or performance criteria. Certain of our leases have been terminated or may be subject to termination due to our portfolio optimization program. Some leases also contain conditions to the landlord’s or our obligations or permit the landlord to terminate before the scheduled expiration date, including due to any failure by us to provide a cash security deposit or an acceptable letter of credit, surety bond, or other security instrument. Some leases for Contracted Units have contingencies (including construction financing contingencies, zoning, permitting or other regulatory conditions, landlord purchase contingencies, or other contingencies that we or the landlord must satisfy) that must be satisfied prior to our takeover of the units. If these contingencies are not satisfied prior to our takeover of the units, the lease is terminable by us or the landlord. In addition, certain leases are terminable by the landlord for other reasons.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leased properties have been pledged as collateral for mortgage loans entered into by the owners of the properties when those properties were purchased or refinanced. If those owners cannot repay or refinance maturing indebtedness on favorable terms or at all, such owners may declare bankruptcy and/or lenders could declare a default, accelerate the related debt, and foreclose on the subject property. In addition, some of our units are subleased from parties that lease the underlying property from its owner. If our landlord fails to comply with its underlying lease, or the lease is otherwise terminated earlier than expected, we could lose the right to continue to operate our units or could be forced to cure the landlord’s failure without being assured of recouping the related costs. From time to time, we have experienced the loss or disruption of leases for Contracted Units and Live Units for reasons such as those described above, and similar events may occur in the future.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termination of our leases due to any of the foregoing events would eliminate our anticipated income and cash flows from the affected property, which could have a significant negative effect on our results of operations and liquidity. Landlords or other business partners may also assert the right to terminate leases or other significant contracts even where the agreements do not provide such a right. If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revenues and income we would have otherwise generated from the property. Early terminations of significant agreements could hurt our financial performance or our ability to grow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susceptible to risks associated with international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currently maintain properties in the United States, Canada, the United Kingdom, Ireland, continental Europe, and the United Arab Emirates, and plan to continue our efforts to expand globally, including, eventually, in jurisdictions where we do not currently operate. Managing a global organization is challenging, time consuming, and expensive, and any international expansion efforts that we undertake may not be profitable or otherwise be successful. We have limited operating experience in many foreign jurisdictions and must continue to make significant investments to build our international operations. Conducting international operations subjects us to risks that we generally do not face in the United States.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risks include:</w:t>
      </w:r>
    </w:p>
    <w:p>
      <w:pPr>
        <w:spacing w:after="0" w:line="200" w:lineRule="exact"/>
        <w:rPr>
          <w:sz w:val="20"/>
          <w:szCs w:val="20"/>
          <w:color w:val="auto"/>
        </w:rPr>
      </w:pPr>
    </w:p>
    <w:p>
      <w:pPr>
        <w:ind w:left="520" w:hanging="260"/>
        <w:spacing w:after="0" w:line="26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risks, and uncertainties associated with tailoring our services in international jurisdictions as needed to better address and balance both our needs, the needs of our guests, and threats of local competitors with compliance under applicable rules and regulations;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in forecasting revenues and expenses in markets where we have not previously operated;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risks associated with international, national, and local laws, regulations and policies governing topics such as zoning (hotels and other accommodations) and permits, accessibility, property development and rental, accessibility, health and safety, climate change and sustainability, privacy, and labor and employment;</w:t>
      </w: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local real estate and hotel industry practices, including leasing and hotel transaction terms, that may make it challenging for us to add properties on satisfactory terms or that may require higher than expected upfront payments, security deposits, repair and maintenance expenses, amenity expenses, or other costs;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and compliance challenges caused by distance, language, and cultural differences;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risks associated with compliance with laws and regulations, including laws governing tax, advertising and other Internet activities, email and other messaging, privacy and data security, intellectual property, and other activities important to our business;</w:t>
      </w: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risks associated with compliance with the FCPA and other laws in the United States related to conducting business outside the United States, as well as the laws and regulations of non-U.S. jurisdictions governing bribery, anti-money laundering, and other corrupt business activities;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risks associated with human trafficking, modern slavery and forced labor reporting, training, and due diligence laws and regulations in various jurisdictions;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exposure to adverse movements in currency exchange rates;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with companies that understand the local market better than we do or that have preexisting relationships with landlords, property developers, regulators, and guests in those markets;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or varied protection for intellectual property rights in some countries;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political, social and macroeconomic factors, hostilities and war (including the military conflict between Russia and Ukraine, and recent events in the Middle East), acts of terrorism or responses to these events.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Entry into certain transactions with foreign entities now or in the future may be subject to government regulations, including review related to foreign direct investment by U.S. or foreign government entities. If a transaction with a foreign entity is subject to regulatory review, such regulatory review might limit our ability to enter into the desired strategic alliance and thus our ability to carry out our long-term business strategy.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 and could instead result in increased costs without a corresponding benefit. We cannot guarantee that our international expansion efforts will be successful.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attract new guests or generate repeat bookings from previous guests, our business, results of operations, financial condition, and cash flows would be materially adversely affected.</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success depends significantly on attracting new guests and securing repeat bookings from previous guests. Our ability to attract and retain guests could be materially and adversely affected by a number of factors, including:</w:t>
      </w:r>
    </w:p>
    <w:p>
      <w:pPr>
        <w:spacing w:after="0" w:line="145" w:lineRule="exact"/>
        <w:rPr>
          <w:sz w:val="20"/>
          <w:szCs w:val="20"/>
          <w:color w:val="auto"/>
        </w:rPr>
      </w:pPr>
    </w:p>
    <w:p>
      <w:pPr>
        <w:ind w:left="520" w:hanging="260"/>
        <w:spacing w:after="0" w:line="26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events beyond our control on demand for travel and accommodations in our markets, a future health crisis, changes in government travel restrictions or policies, labor or civic unrest, war, travel-related incidents and weather;</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guests’ expectations;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other hotel and alternative accommodation providers;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provide differentiated, high-quality experiences at competitive prices;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Guests not receiving timely and adequate customer/guest service support;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provide new or enhanced amenities and services that guests value;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disruptions in guests access to properties or to the properties’ amenities;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marketing efforts;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associations with, or failure to raise awareness of, our brand;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perceptions of the safety of our properties, including due to the absence of front desks or other traditional, onsite hotel staffing at some properties;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perceptions of the security of our app or website, including due to previous security incidents, or any other data security incident;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economic recessions, or other macroeconomic factors, and other conditions outside of our control affecting travel and the hospitality industry generally.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could fail to attract first-time guests or additional bookings from previous guests if our website and/or the Sonder app are not easy to navigate, guests have an unsatisfactory digital experience, the listings and other content provided on our website or the Sonder app and on third-party listing platforms are not displayed effectively to guests, or we fail to provide an experience that meets rapidly changing consumer preferences and travel needs. If we fail to attract new guests or generate repeat bookings due to these or other factors, our revenues would suffer, which could materially adversely affect our business, results of operations, financial condition, and cash flows.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offer different types of hospitality services than traditional hospitality operators and short-term rental marketplaces, and if guest and property owner acceptance of this innovative approach to accommodations does not continue to grow or grows more slowly than we expect, our business, results of operations, financial condition, and cash flows could be adversely affected.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offer a distinctive type of hospitality service for which the market is still relatively new, and it is uncertain to what extent market acceptance will continue to grow, if at all, and particularly during times of market volatility, rising interest rates, and general economic instability. Our success will depend on the willingness of potential guests and the market at large to widely adopt our model of hospitality services, which differs from both traditional hotels and short-term rental marketplaces. In many geographies, including geographies that we hope to enter in the future, the market for our hospitality services is unproven, with little data or research available regarding the market and industry. If potential guests do not perceive our units’ designs, amenities, location, or pricing to be attractive, or choose different accommodations due to concerns regarding safety, the availability of onsite staffing, amenities or services associated with traditional hotels, affordability, or other reasons, then the market for our accommodations may not further develop, may develop more slowly than expected, or may not achieve its expected growth potential. Such outcomes could adversely affect our business, results of operations, financial condition, and cash flows.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growth also depends on the acceptance of our innovative business model by landlords and property developers, and on our ability to operate in markets without clear or well-established regulations covering properties used in our business. For these and other reasons, we may make errors in predicting demand and the supply of potential units in certain markets, which could cause us to spend more in a certain market than is justified by the resulting revenues, or to miss our financial targets, and could otherwise harm our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hospitality market is highly competitive and we may be unable to compete successfully with current or future competitors.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hospitality market is highly competitive and fragmented. In addition, new competitors may enter the market at any time. Our current and potential competitors include global hotel brands, regional hotel chains, independent hotels, OTAs, and short-term rental services. Numerous vacation, hotel, and apartment rental listing websites and apps also compete directly with us for guests. Our competitors may continue to adopt aspects of our business model, which could reduce our ability to differentiate our services. For example, some competitors, including traditional hotels, have introduced contactless check-in and self-service technologies that were not previously offered, marketed their services to digital nomads, and have encouraged the development and implementation of in-room communications hubs and other technologies that may permit competitors to offer more technology-enabled guest services. Certain current and potential competitors may also offer inspiring designs at attractive locations or have greater economies of scale and other cost advantages that allow them to offer attractive pricing. We also compete with hotel operators, property rental and management companies, and others to secure leases for attractive properties to add to our portfolio. If we are unsuccessful in offering a distinctive combination of modern, technology-enabled service, and superior design at a competitive price point, or are unable to lease new properties, we may be unable to compete effectively and may be unable to attract new or retain existing guests and landlords.</w:t>
      </w:r>
    </w:p>
    <w:p>
      <w:pPr>
        <w:spacing w:after="0" w:line="3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current or new competitors may introduce new business models or services that we may need to adopt or otherwise adapt to in order to compete, which could reduce our ability to differentiate our business or services from those of our competitors. For example, some travel intermediaries, like OTAs, are entering into arrangements with hospitality providers that may compete with us more directly. Increased competition could result in a reduction in revenue, fewer attractive properties, higher lease rates, higher costs, or reduced market share.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we compete for guests primarily on the basis of the quantity and quality of our units, the global diversity and attractiveness of our units, the quality of our guest experience, and our customer service, brand identity, and price. Competitive factors in our industry are subject to change and if guests choose to use other competitive offerings, our revenue could decrease and we could be required to make additional expenditures to compete more effectively. Any of these events or results could harm our business, results of operations, financial condition, and cash flows.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Many of our competitors enjoy substantial competitive advantages, such as greater name recognition in their markets, well-established guest loyalty programs, longer operating histories, larger marketing budgets, and substantially greater financial, technical, and other resources. Many competitors operate restaurants or other amenities at their properties that our properties may not provide. Future competitors may also have these advantages compared to us. Moreover, the hospitality services industry has experienced significant consolidation, and we expect this trend may continue as companies attempt to strengthen or hold their market positions in a highly competitive industry. Consolidation among our competitors could give them increased scale and may enhance their capacity, abilities, and resources, and lower their cost structures. In addition, our current or potential competitors may have access to larger developer, landlord, or guest bases. As a result, our competitors may be able to respond more quickly and effectively than we can to new or changing opportunities, technologies, standards, regulatory regimes, or landlord or guest requirements. Furthermore, because of these advantages, existing and potential landlords and guests might accept our competitors’ offerings, even if they may be inferior to our own. For all of these reasons, we may not be able to compete successfully against our current and future competitors.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market our units through third-party distribution channels, and if such third parties do not perform adequately or terminate or modify their relationships with us, our business, results of operations, financial condition, and cash flows could be adversely affected.</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success has depended in part on our relationships with third-party distribution channels to list our units online and raise awareness of our brand. In particular, we generate demand by marketing our units with OTAs and other indirect channels, which accounted for over half of our revenues in the year ended December 31, 2024. The terms of some of our agreements with these partners allow the partner to change or terminate terms at their discretion. If any of our partners terminate their relationship with us or refuse to renew their agreement with us on commercially reasonable terms, we would need to find alternate providers and may not be able to secure similar terms or replace such providers in acceptable time frames. Additionally, many of these OTAs have discretion in how units are listed or prioritized within their platform and may unilaterally reduce the visibility of our units. Our revenues have in the past been and could be adversely affected if our units are not featured prominently or accurately within OTA platforms for any reason, including changes in an OTA’s relationship with us or its competitors, errors by an OTA, outages experienced by an OTA, disruptions in the interconnection of our systems with OTA systems, or otherwise. For example, certain of our units have been temporarily removed from OTA platforms due to misunderstandings about our units’ regulatory status or misclassification of units by local regulators, resulting in lost revenue. If our relationship with an OTA is terminated or the OTA makes changes that reduce the prominence of our units on its platform, our revenue could be materially adversely affected.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relationships with OTAs and other distribution partners may shift as industry dynamics change after the integration of our portfolio of properties with Marriott, and these third parties may be less willing to partner with us as such shifts occur. For example, should a significant distribution partner adjust its platform to compete more directly with us, that partner may be more likely to promote and sell its own offerings, impose additional conditions on us, or even cease listing our units. Similarly, if any significant distribution partner decided to sell another competitor’s offerings over ours, it could adversely impact our sales and harm our business, operating results, and prospects.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Furthermore, any negative publicity related to any of our distribution partners, including any negative publicity related to quality standards, regulatory issues, or privacy or safety concerns at other properties listed by a particular channel partner, could adversely affect our reputation and brand, and could potentially lead to increased regulatory or litigation exposure.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vary from period-to-period, and historical performance may not be indicative of future performance.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results of operations have historically varied from period-to-period, and we expect that our results of operations will continue to do so for a variety of reasons, many of which are outside of our control and difficult to predict. Because our results of operations may vary significantly from quarter-to-quarter and year-to-year, the results of any one period should not be relied upon as an indication of future performance. Our revenue, expenses, operating results, and cash flows, as well as our key operating metrics, have fluctuated from period-to-period in the past and are likely to continue to do so in the future. These fluctuations are due to, or may result from, many factors, including:</w:t>
      </w:r>
    </w:p>
    <w:p>
      <w:pPr>
        <w:spacing w:after="0" w:line="162"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number of our Live Units;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Occupancy Rates and average length of stay, which dictate many turnover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demand in certain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fluctuations and the proportion of stays booked with extended stay discounts or promotional pricing;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and performance of new properties, amenities, technologies, and services, including the rate in which new properties are ready for booking;</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and the extent to which we realize the expected benefits from, our Cash Flow Positive Plan and our portfolio optimization program, and our relationship with Marriott pursuant to the Marriott Agreement;</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cost, and success of advertising and marketing initiatives;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financing activities, operating expenses, and capital expenditures;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prevailing lease rates and any adjustments in rental rates under existing leases;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cash flow due to lease signings, renewals, amendments, and property openings;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cash flow due to the unpredictability of guest cancellations;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of labor and supplies due to inflation and supply chain disruptions;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instability in major markets and fluctuations in exchange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or disruptions in the hospitality industry, particularly in cities or regions where we generate substantial revenue;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natural disasters and changes in the frequency and severity of natural disasters;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mix of stays booked through indirect distribution channels, rather than directly with us, and any changes in fees or relationships with distribution channels;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disruptions or costs due to regulatory issues, including changes in short-term rental laws, hotel regulations, or zoning or accessibility laws;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settlement costs, including unforeseen attorneys’ fees and costs;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public health crisis;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accounting pronouncements and changes in accounting standards or practices, particularly any affecting the recognition of revenue and lease accounting;</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fair value of certain of our financial instruments carried at fair value, which have required and may in the future require us to record non-cash gains or losses in our quarterly results of operations, which may be material and are driven by changes in our stock price and other factors outside of our control;</w:t>
      </w:r>
    </w:p>
    <w:p>
      <w:pPr>
        <w:jc w:val="both"/>
        <w:ind w:left="5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impairments of the right-of-use (“ROU”) assets recorded with respect to our operating leases or other impairments of long-lived assets that may be recorded if there are any events or changes in circumstances that indicate that the carrying amount of the long-lived asset might not be recoverable, which have resulted in and may in the future result in additional non-cash expenses in our results of operations;</w:t>
      </w:r>
    </w:p>
    <w:p>
      <w:pPr>
        <w:ind w:left="5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that harm our business or restrict short-term rentals, the hospitality industry, travel, the Internet, e-commerce, online payments, or online communications; and</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elsewhere herein.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Fluctuations in operating results may, particularly if unforeseen, cause us to miss projections or guidance we may have provided to the public. In addition, a significant portion of our expenses and investments, such as our leases, are fixed and such fluctuations in operating results may cause us to face short-term liquidity issues, impact our ability to retain or attract key personnel, expand our portfolio of properties, or cause other unanticipated issues. Company-wide margins may also be difficult to predict because a significant portion of the property portfolio may still be opening or only recently operating at any point in time, and therefore will not be comparable to the profitability of more mature units. In addition, seasonal fluctuations obscure important trends in key metrics such as Adjusted FCF, which may fall below the expectations of investors or securities analysts and cause our stock price to fluctuate or decline. As a result of the potential variability in our quarterly revenue and operating results, we believe that period-to-period comparisons of our revenue and operating results may not be meaningful, and the results of any one period should not be relied upon as an indication of future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measures we use to evaluate our operating performance are subject to inherent challenges in measurement and may be subject to future adjustments.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track certain operational metrics, including key performance indicators such as Live Units, Contracted Units, Total Portfolio (as described in Part II, Item 7), Room Nights Booked (as described in Part II, Item 7), Bookable Nights (as described in Part II, Item 7), Occupied Nights (as described in Part II, Item 7), Occupancy Rate, Average Daily Rate (“ADR”), and RevPAR, with internal systems and tools that are not independently verified by any third party.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the metrics presented herein are based on what we believe to be reasonable assumptions and estimates, our systems and tools have a number of limitations and our methodologies for tracking these metrics may change over time. In addition, limitations or errors with respect to how we measure data or the data that we measure may affect our understanding of certain details of our business, which could affect our long-term strategies. If the internal systems and tools we use to track these metrics understate or overstate key performance indicators or contain other technical errors, the data we report or rely upon for planning and forecasting may not be accurate. If investors do not perceive our operating metrics to be accurate, or if we discover material inaccuracies with respect to these figures, our reputation may be significantly harmed, and our business, results of operations, financial condition, and cash flows could be adversely affected.</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reputation and the strength of our brand, and any deterioration could adversely impact our market share, revenues, business, results of operations, financial condition, and cash flows.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depends on our reputation and the strength of our brand. We believe that the strength of our reputation and brand are important to our ability to attract and retain guests, compete for attractive new properties, and establish and preserve good relationships with the communities, local governmental authorities, and regulators. Many factors can affect our reputation and the strength of our brand, including: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guest service and the guest experience, and the nature and severity of guest complaints;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Publicized litigation and negative perception related to property exits;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Guest safety and perceptions of safety;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Guest privacy and data security practices, and any breaches of privacy or data security;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Publicized incidents in or around our properties;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Marriott’s brand and guests’ perception of our relationship with Marriott;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The delay in our SEC reports resulting from our accounting restatement announced in March 2024;</w:t>
      </w:r>
    </w:p>
    <w:p>
      <w:pPr>
        <w:spacing w:after="0" w:line="8"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and labor relations;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local concerns about perceived over-tourism or the effect of new hotels or other accommodations on affordable housing, noise, or neighborhood congestion;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support for local communities, and other community relations matters;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supply chain management, sustainability, human rights, and other matters relating to corporate social responsibility;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operate properties that carry the owner’s branding or are co-branded with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use our brand and trademarks;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perceived or alleged non-compliance with regulatory requirements.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Reputational value is also based on perceptions and broad access to social media makes it easy for anyone to provide public feedback that can influence perceptions of us, our brand, and our properties. It may be difficult to control or effectively manage negative publicity, regardless of whether it is accurate.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ability to control our reputation and brand is also limited due to the role of third parties in our business. For example, guests who book stays through OTAs and other indirect channels have had and may continue to have issues with their bookings that we do not control, such as refund and cancellation terms, which may result in disputes or otherwise negatively affect our reputation. Similar issues may arise with respect to bookings made through Marriott’s platform and distribution channels. We also rely on third-party companies to provide certain guest services, including housekeeping and linen services at many of our locations, and remote guest support. We do not directly control these companies or their personnel. We also depend upon our landlords to perform important maintenance and other functions at our properties, particularly in common areas, and at many properties we do not control access to or amenities at the entire building, including pools, gyms, and food and beverage services. Guest complaints or negative publicity about our properties, services, or business activities, due to our own operations or actions or omissions of third parties, could diminish consumer confidence in our brand and impair our relationships with guests, landlords, governmental authorities, local residents, third-party business partners, and others that are important to our business.</w:t>
      </w:r>
    </w:p>
    <w:p>
      <w:pPr>
        <w:spacing w:after="0" w:line="3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involved in and may in the future become involved in claims, lawsuits, and other proceedings that could adversely affect our business, results of operations, financial condition, and cash flows.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involved in various legal proceedings relating to matters incidental to the ordinary course of our business and may be subject to additional legal proceedings from time to time. Such legal actions include tort and other general liability claims, employee claims, consumer protection claims, violation of privacy claims, commercial disputes, claims by guests, intellectual property claims, securities claims, and disputes with landlords. Due to the potential risks, expenses, and uncertainties of litigation, we may, from time to time, settle disputes even where we have meritorious claims or defenses. We are involved in and may also in the future be the subject of subpoenas, requests for information, reviews, investigations, and proceedings (both formal and informal) by governmental agencies regarding our business activities. Legal and regulatory proceedings can be time-consuming, divert management’s attention and resources, and cause us to incur significant expenses or liability for substantial damages. The timing and amount of these expenses and damages are difficult to estimate and subject to change, and they could adversely affect our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been and may in the future be subject to liability for the activities of our guests or other incidents at our properties, which could harm our reputation and increase our operating costs.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been and may in the future be subject to claims of liability based on events that occur during guests’ stays, including those related to robbery, injury, illness, death, physical damage to property, and other similar incidents. These claims could increase our operating costs and adversely affect our business and results of operations, even if they do not result in liability, as we may incur costs related to investigation and defense. This risk is heightened due to the fact that, in many cases, we do not control access to certain areas of buildings in which our units are located. From time to time, we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must also spend time and resources resolving issues with guests who remain past their paid stay, which results in lost revenue and higher costs. If we are subject to additional disputes, liability, or claims of liability relating to the acts of our guests, third parties in or around our leased properties (including residents of these properties who are not our guests) or the condition of the leased properties, we may be subject to negative publicity, incur additional expenses, face regulatory or governmental scrutiny, and be subject to liability, any of which could harm our business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claims and liabilities associated with potential health and safety issues and hazardous substances at our properties.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and the developers and owners of our leased properties are exposed to potentially significant liabilities and compliance costs as a result of any hazardous or unsafe conditions at our properties, including under environmental, health, and safety laws and regulations. These laws and regulations govern matters such as the release, use, storage, and disposal of hazardous and toxic substances, such as asbestos, mold, radon gas, or lead, and unsafe or unhealthy conditions at hotels and other residential premises. Failure to comply with these laws, including any required permits or licenses, can result in substantial fines or possible revocation of our authority to conduct operations. Any impairment of our or our landlords’ authority to permit hospitality operations at our leased properties, due to these factors, could harm our reputation and revenue. We could also be liable under environmental, health, and safety laws for the costs of investigation, removal, or remediation of hazardous or toxic substances or unsafe or unhealthy conditions at our currently or formerly leased or managed properties, even if we did not know of or cause the presence or release of the substances or conditions, and even where this is contractually the responsibility of our landlord.</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presence or release of toxic, unhealthy, or hazardous substances or conditions at our properties could result in governmental investigations and third-party claims for personal injury, property or natural resource damages, business interruption or other losses, and costly disputes with our landlords and guests. For example, we have engaged in litigation with one of our landlords relating to the presence of toxic mold at one property, and we have faced expensive and disruptive claims relating to Legionella bacteria contamination in the water supply at another property, including lawsuits by guests. We expect to encounter claims, governmental investigations, and potential enforcement actions about property conditions and related matters in the future. These claims and the need to investigate, remediate, or otherwise address hazardous, toxic, or unsafe conditions could adversely affect our reputation, business, results of operations, financial condition, and cash flows. Environmental, health, and safety requirements have also become increasingly stringent, and our costs may increase as a result. New or revised laws and regulations or new interpretations of existing laws and regulations, such as those related to climate change, could affect the operation of our properties or result in significant additional expense and restrictions on our business operations.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our third-party landlords to deliver properties to us in a safe and suitable condition, and in most cases we do not undertake to independently verify the safety, suitability, or condition of the properties we lease. We expect to continue to rely on landlords to disclose information about their properties, though such disclosures may be inaccurate or incomplete, and to keep the properties in a safe and compliant condition in accordance with the terms of our leases and applicable law. If unsafe or unhealthy conditions are present or develop at our properties, our guests may be harmed, we may be subject to expensive and disruptive claims, and our reputation, business, results of operations, financial condition, and cash flows could be materially and adversely affected. In certain cases, we may undertake to terminate a lease based on a landlord’s failure to remediate an unsafe or unhealthy condition at the property, in which case we could be subject to costly litigation which could harm our business and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 of financial and reputational damage due to fraud.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from time to time experienced, and expect to continue to experience, fraud in connection with bookings and payments. The methods used by perpetrators of fraud are complex and constantly evolving. We devote substantial resources to trust and security measures, but they may not detect all fraudulent activity or prevent stays that are disruptive or harmful to neighbors or other guests. As a result, we expect to continue to receive complaints from guests and requests for reimbursement of their payments, as well as actual or threatened related legal action against us, and lost revenue and other financial impacts, due to fraudulent activity or the actions of persons booking stays under false pretenses.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on our key personnel and other highly skilled personnel, and if we fail to attract, retain, motivate, or integrate our personnel, our business, results of operations, financial condition, and cash flows could be adversely affected.</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success depends to a significant degree on the continued service of our founders, senior management team, key technical, financial, and operations employees and other highly skilled personnel and on our ability to identify, hire, develop, promote, motivate, retain, and integrate highly qualified personnel for all areas of our organization. For example, we recently announced that Francis Davidson, one of our founders and our former Chief Executive Officer, resigned from the Company. We may not be successful in attracting and retaining qualified personnel to fulfill our current or future needs. In addition, all of our U.S.-based employees, including our management team, work for Sonder on an at-will basis, and there is no assurance that any such employee will remain with us. Competitors may be successful in recruiting and hiring members of our management team or other key employees, and it may be difficult to find suitable replacements on a timely basis, on competitive terms, or at all. If we are unable to attract and retain the necessary personnel, particularly in critical areas of our business, we may not achieve our strategic goals.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face intense competition for highly skilled personnel in all areas of our business and there are several factors that may increase the competition for employees. To attract and retain top talent, we have had to offer, and we believe we will need to continue to offer, competitive compensation and benefits packages. Job candidates and existing personnel often consider the value of the equity awards they receive in connection with their employment. If the perceived value of our equity awards declines, including due to the decline in our stock price, our ability to attract and retain highly qualified personnel may be adversely affected.</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Volatility or lack of performance in our stock price may also affect our ability to attract and retain employees. The value to employees of equity awards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continued focus on operational efficiencies, particularly after previous restructurings and other initiatives, and the organizational changes that are expected to result from our new relationship with Marriott, may cause additional uncertainty among existing and prospective employees, which may make it more difficult to retain or attract highly qualified personnel for important roles. We may need to invest significant amounts of cash and equity to attract and retain new employees and expend significant time and resources to identify, recruit, train, and integrate such employees, and we may never realize returns on these investments. If we are unable to effectively manage our hiring needs, successfully integrate new hires, or effectively retain current employees, our efficiency, ability to meet forecasts, and employee morale, productivity, and retention could suffer, which could adversely affect our business, results of operations, financial condition,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the employment of hospitality personnel, particularly at locations that employ unionized labor, and the use of third-party guest services contractors.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hospitality employees and other guest services personnel are critical to our ability to add properties, operate our units, enhance the guest experience, and attract and retain guests. If our relationship with employees in any city, at any key property, or within our central guest services function, deteriorates for any reason, our reputation, guest relationships, and revenue may suffer, and we may incur costs to replace and retrain additional personnel or third-party contractors. In addition, many of our guest services representatives and housekeepers are employed by third-party agencies. Our business and reputation could be harmed in the event of any dispute with these agencies, or if their staff do not provide services that meet our or our standards and expectations. Guest services, live support for guest bookings, and our expenses may also be adversely affected by any event that disrupts the operations of our third-party contractors. For example, we have experienced disruptions to an outsourced service center due to natural disasters, which caused temporary delays in guest responses and other temporary disruptions in our operations. In addition, labor costs are a significant component of our operating expenses, and any increase in the cost of wages, benefits, or other employee-related costs could cause our results of operations and cash flow to be lower than anticipated. Certain cities have also adopted re-hiring ordinances and other requirements with respect to hotel and other hospitality employees, and these and other employment regulations may increase our costs and impair our operations.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Like other businesses in the hospitality industry, we may be adversely affected by organized labor activity. Certain of our non-U.S. employees are currently represented by labor unions or covered by a collective bargaining agreement and similar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organized labor activity may occur at other locations. We cannot predict the outcome of any labor-related proposal or other organized labor activity. Increased unionization of our workforce or other collective labor action, new labor legislation, or changes in regulations could be costly, reduce our staffing flexibility, or otherwise disrupt our operations, and reduce our profitability. From time to time, hospitality operations may be disrupted because of strikes, lockouts, public demonstrations, or other negative actions and publicity involving employees and third-party contractors. We may also incur increased legal costs and indirect labor costs because of disputes involving our workforce. The resolution of labor disputes or new or renegotiated labor contracts could lead to increased labor costs, which are a significant component of our operating costs, either by increases in wages or benefits or by changes in work rules that raise operating costs.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and may again identify material weaknesses in our internal controls over financial reporting and may identify material weaknesses in the future or otherwise fail to maintain an effective system of internal controls, which may result in material misstatements of our consolidated financial statements or other adverse consequences.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identified material weaknesses in our internal controls over financial reporting as of December 31, 2024, which, if not remediated, could affect the reliability of our consolidated financial statements and have other adverse consequences.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identified material weaknesses in internal control over financial reporting as of December 31, 2024 related to:</w:t>
      </w:r>
    </w:p>
    <w:p>
      <w:pPr>
        <w:spacing w:after="0" w:line="200"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to capture and record lease agreements timely and accurately;</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impairment matters;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of identifying key metrics, which impact the accounting treatment and valuation of preferred stock; and</w:t>
      </w:r>
    </w:p>
    <w:p>
      <w:pPr>
        <w:spacing w:after="0" w:line="7"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deficiencies in the control activities, control environment and information and communication components of the criteria established in Internal Control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Integrated Framework (2013) issued by the Committee of Sponsoring Organizations of the Treadway Commission (“COSO”), relating to (a) establishing and consistently applying formal policies and procedures, and (b) hiring and training sufficient personnel to timely support our internal control objectives to ascertain whether the components of internal controls are present and functioning, as further described in Part II, Item 9A of this report.</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we remain committed to taking actions to remediate these material weaknesses in our internal controls over financial reporting, including efforts to enhance our control environment, we can give no assurance that our efforts will succeed in remediating these deficiencies in internal controls over financial reporting or that additional material weaknesses in our internal controls over financial reporting will not be identified in the future.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Pursuant to the SEC rules that implement Section 404 of the Sarbanes-Oxley Act, we are required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To achieve compliance with these requirements within the prescribed time period, we have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our internal controls over financial reporting, validate through testing that controls are functioning as documented, and implement a continuous reporting and improvement process for internal controls over financial reporting. Despite our efforts, there is a risk that we will not be able to conclude, within the prescribed time period or at all, that our internal controls over financial reporting is effective as required by Section 404 of the Sarbanes-Oxley Act. Moreover, our testing may reveal deficiencies in our internal controls over financial reporting that are deemed to be material weaknesses.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failure to remediate any material weaknesses, and to implement and maintain effective internal controls over financial reporting, could result in errors in our consolidated financial statements, including errors that could result in a restatement of our consolidated financial statements, and could cause us to fail to meet our reporting obligations and result in other adverse consequences, such as violations of contractual or debt covenants, potential delisting from Nasdaq, SEC or other regulatory investigations, civil or criminal sanctions, or claims or litigation against us, any of which could diminish investor confidence in us, require the expenditure of additional resources, make it more difficult to raise capital, and cause a decline in the price of our common stock and Public Warrants.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effective disclosure controls, our ability to produce timely and accurate financial statements or comply with applicable regulations could be impaired, which may adversely affect investor confidence in us and, as a result, the market price of our common stock.</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required to comply with the requirements of the Sarbanes-Oxley Act, including, among other things, that we maintain effective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have experienced delays in filing our reports with the SEC and may experience similar delays in the future.</w:t>
      </w:r>
    </w:p>
    <w:p>
      <w:pPr>
        <w:spacing w:after="0" w:line="3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2024, our management concluded that our disclosure controls and procedures were not effective due to the existence of the material weaknesses described above. See Part II, Item 9A of this report for more information. Any failure to implement and maintain effective disclosure controls and procedures could cause investors to lose confidence in the accuracy and completeness of our financial statements and reports, which would likely adversely affect the market price of our publicly traded securities and could subject us to potential delisting from Nasdaq, SEC or other regulatory investigations, civil or criminal sanctions, or claims or litigation against us, any of which could diminish investor confidence in us, require the expenditure of additional resources, make it more difficult to raise capital, and cause a decline in the price of our common stock and Public Warrants.</w:t>
      </w:r>
    </w:p>
    <w:p>
      <w:pPr>
        <w:spacing w:after="0" w:line="1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the restatement of our previously issued consolidated financial statements and financial information, and that restatement and any future financial restatement or correction may adversely affect us.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are subject to a number of additional risks and uncertainties which may affect investor confidence in the accuracy of our financial disclosures and may raise reputational issues for our business. We expect to continue to face many risks and challenges related to potential errors in future financial statements as the existence of unremedied material weaknesses may not be timely detected and may not prevent errors in future financial statements. The restatement process described in this report has required, and the evaluation of controls, require additional professional fees and internal resources, including management time and attention, which negatively impact our business and financial results. We are also subject to litigation or other claims, disputes, investigations, or proceedings, which may include, among others, claims invoking the federal and state securities laws, governmental investigations, or other claims, related to the above-described restatement, or to weaknesses or deficiencies in our internal controls over financial reporting or our other controls and procedures.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cannot assure you that all of the risks described above will be eliminated or that the restatement described in this report, or any future restatement, will not cause financial or reputational harm to our business. If one or more of the foregoing risks or challenges persist, our business, results of operations, financial condition, and cash flows could be materially and adversely affected.</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delayed SEC filings have made us currently ineligible to use certain registration statements to register the offer and sale of securities, which could have adverse effects including on our ability to raise capital or employee retention and recruitment.</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Because we were unable to timely file this Form 10-K, the Quarterly Report on Form 10-Q for the quarterly period ended March 31, 2025 (the “Q1 2025 Form 10-Q”), and certain other previous periodic reports with the SEC, we are not eligible to register the offer and sale of our securities using a registration statement on Form S-3 until we have timely filed all periodic reports required under the Exchange Act for one year. Should we wish to register the offer and sale of our securities to the public prior to the time we are eligible to use Form S-3, including for purposes of raising capital or permitting the resale of privately placed securities, we will be required to file a registration statement on Form S-1 and have it reviewed and declared effective by the SEC. Doing so would likely take longer than filing a registration statement on Form S-3 and increase our transaction costs, making it more difficult to execute any such transaction successfully and potentially harming our liquidity and financial condition. We have also been unable to have our resale registration statement on Form S-1 declared effective due to our delayed SEC filings. We will also need to file a post-effective amendment on Form S-1 to convert our previous Form S-3 registration statement with respect to resales of securities into a Form S-1, which may be reviewed and will need to be declared effective by the SEC. We cannot predict when we will regain eligibility to use Form S-3 or have an effective Form S-1, due in part to the uncertainties associated with our previously announced financial restatement process and the possibility of additional delays in our SEC filings.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Furthermore, our failure to timely file our periodic reports with the SEC resulted in the suspension of the availability of Form S-8 for issuances of shares pursuant to our equity incentive plans for employees and directors. For that reason, employees and directors have not been permitted to exercise outstanding stock options or receive unrestricted shares of our common stock pursuant to restricted stock units or other equity awards, and we will remain unable to grant other equity awards under our Form S-8 registration statements, until such time that we are deemed to have filed all reports and other materials required to be filed under the Exchange Act, including the Q1 2025 Form 10-Q. The suspension of our ability to utilize Form S-8 has adversely impacted employee morale, incentives, and recruitment, and if we fail to file future required reports, our ability to use Form S-8 for the above purposes will remain or again be suspended, which could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certain third-party services and technologies, and any defects or failures in these technologies or any inability to obtain or integrate third-party technologies could harm our business.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rely on software and other technologies and services supplied by third parties to provide certain services to us and our guests, including internal communications, customer service communications, web hosting, payment processing of guest credit cards, fraud prevention, lease management, accounting and other internal functions, and other technologies employed to facilitate bookings and guest use and enjoyment of our properties, such as digital locks and streaming television services. As we increase the use of third-party systems in our business and as new technology is developed, the integration of our products and services with one another and other companies’ offerings creates an increasingly complex ecosystem that is also increasingly reliant on third parties. Our business may be adversely affected to the extent such software, services, and technologies contain errors or vulnerabilities, are compromised, experience outages, are depreciated or functionally reduced by vendors, or otherwise fail to meet expectations. Errors, outages, vulnerabilities, depreciation, and other issues with third-party software, services, and technologies have occurred in the past, and additional issues can be expected to occur in the future. Third-party vendors may also fail to provide timely and effective support. Our increasing reliance on third parties for technology development and support may also subject us to additional risks, including potential challenges in protecting our intellectual property rights in the related technology, and reduced control over the individuals working on our technology projects. Any of these risks could increase our costs and adversely affect our business, results of operations, financial condition, and cash flows.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Incorporating technology from third parties to operate our business can result in the infringement of intellectual property rights of others or in our suppliers and licensors in all jurisdictions in which we may operate. If we are unable to obtain or maintain rights to any of this technology because of intellectual property infringement claims brought by third parties against our suppliers and licensors or against us, our ability to operate some aspects of our business could be severely limited and our business could be harmed. In addition, some of our license agreements may be terminated by our licensors for convenience.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In addition, we may be unable to enter into new agreements on commercially reasonable terms or develop our own technologies and amenities relying on or containing technology previously obtained from third parties. If alternate technology cannot be obtained or developed, we may not be able to offer certain functionality to our guests or manage our business as we had intended, which could adversely affect our business, results of operations, financial condition, and cash flows.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payment processors to process payments, and if we cannot manage our relationships with such third parties and other payment-related risks, our business, results of operations, financial condition, and cash flows could be adversely affected.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rely on third-party payment processors to process payments. If any of our third-party payment processors terminates its relationship with us or refuses to renew its agreement with us on commercially reasonable terms, we would need to find alternate payment processors, and we may not be able to secure similar terms or replace such payment processors in an acceptable time frame. Furthermore, the software and services provided by our third-party payment processors may fail to meet our expectations, contain errors or vulnerabilities, be compromised or experience outages. Any of these risks could cause us to lose our ability to accept online payments or other payment transactions or make timely payments to landlords, any of which could adversely affect our ability to attract and retain guests or disrupt our operations.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Nearly all payments made to us are made by credit card, debit card, or through a third-party payment service, which subjects us to certain regulations and to the risk of fraud. We may in the future offer new payment options to guests that may be subject to additional regulations and risks. We are also subject to a number of other laws and regulations relating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including with respect to money laundering, money transfers, privacy, and information security, and these regulations may differ by locality and can be expected to change over time.</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our data or information technology systems, or those of third parties with whom we work, are or were again compromised, we could experience, and have in the past experienced, adverse consequences, including regulatory investigations or actions, litigation (including class claims), fines and penalties, disruptions of our business operations, reputational harm, loss of revenue or profits, loss of guest loyalty or sales, and other adverse consequences.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Cyberattacks, malicious internet-based activity, online and offline fraud, and other similar activities threaten the confidentiality, integrity, and availability of our sensitive information and information technology systems, and those of the third parties upon which we rely. Following the integration of our properties with Marriott’s platform and systems pursuant to the Marriott Agreement, the aforementioned third parties include Marriott, and any third parties whose technologies, services, or systems are incorporated into Marriott’s platform or systems or on which Marriott otherwise relies.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and the third parties with whom we work are subject to a variety of evolving threats, including but not limited to social engineering attacks (including through phishing and so-called deep fake attacks), malicious code (such as viruses and worms), malware (including as a result of advanced persistent threat intrusions), denial-of-service and credential stuffing attacks, credential harvesting, personnel misconduct or error, ransomware attacks, supply-chain attacks, software bugs, server malfunctions, software or hardware failures, adware, telecommunications failures, earthquakes, fires, floods, and other similar threats. We have experienced targeted and organized phishing and account takeover attacks and may experience more in the future. Severe ransomware attacks are becoming increasingly prevalent and can lead to significant interruptions in our operations and ability to provide services to our guests, loss or unavailability of sensitive data and income, reputational harm, and diversion of funds. Extortion payments may alleviate the negative impact of a ransomware attack, but we may be unwilling or unable to make such payments due to applicable laws or regulations prohibiting such payments or other challenges. It may be difficult and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The foregoing risks are likely to increase as we expand our business, integrate our products and services with those of third parties or at new properties, and store and process more data, including personal data, and as the use of generative artificial intelligence may permit more automated and effective attacks. Our efforts to protect information from unauthorized access may be unsuccessful or may result in the rejection of legitimate attempts to book reservations, each of which could result in lost business and have a material adverse effect on our business, reputation, and results of operations.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231F20"/>
        </w:rPr>
        <w:t>Additionally, past or future business transactions (such as integrations of our systems and technologies with those of commercial partners or any businesses we may acquire) could expose us to additional cybersecurity risks and vulnerabilities. Among other things, our systems could be negatively affected by vulnerabilities present in the third-party systems and technologies, or created by the integration. Furthermore, we may discover security issues that were not found during our analysis of any third-party business partner, and it may be difficult to integrate our information technology environment and security program with those of other companies.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rely on third parties and their technologies to operate critical business systems to process sensitive data in a variety of contexts, including, without limitation, cloud-based infrastructure, data center facilities, employee email, content delivery to guests, and other functions. We also rely on third parties to provide other products, services, or technologies. Our ability to monitor the adequacy and effectiveness of the information security practices of these third parties is limited. </w:t>
      </w:r>
      <w:r>
        <w:rPr>
          <w:rFonts w:ascii="Times New Roman" w:cs="Times New Roman" w:eastAsia="Times New Roman" w:hAnsi="Times New Roman"/>
          <w:sz w:val="14"/>
          <w:szCs w:val="14"/>
          <w:color w:val="231F20"/>
        </w:rPr>
        <w:t>If the third parties experience a security incident or other interruption or disruption, we could experience adverse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consequences. While we may be entitled to damages if those third parties fail to satisfy their privacy- or security-related obligations to us, any award may be insufficient to cover our damages or we may be unable to recover such award. In addition, supply-chain attacks have increased in frequency and severity, and we cannot guarantee that infrastructure of third-parties in our supply chain have not been compromised.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 security incident or other interruption that could result in unauthorized, unlawful, or accidental acquisition, modification, destruction, loss, alteration, encryption, unavailability, or disclosure of, or access to, our sensitive data or our information technology systems, or those of the third parties upon whom we rely. A security incident or other interruption or disruption could disrupt our ability (and that of third parties upon whom we rely) to provide our services.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security measures may not be successful in preventing security breaches and other incidents. We have previously experienced and may again experience security incidents that could result in unauthorized access to sensitive data. In addition, sensitive information about our company or guests could be leaked, disclosed, or revealed as a result of or in connection with the use of generative artificial intelligence technologies by our vendors, contractors, or employees. While we take steps designed to detect, mitigate, and remediate vulnerabilities in our information systems, we may not be able to detect and remediate all vulnerabilities on a timely basis or at all, in part because the threats and techniques used to exploit the vulnerability change frequently and are often sophisticated in nature. Therefore, such vulnerabilities could be exploited but may not be detected until after a security incident has occurred. These vulnerabilities may pose material risks to our business, including the risk that they result in material weaknesses in our internal controls over financial reporting. We may experience or identify additional security vulnerabilities. Further, we may experience delays in developing and deploying remedial measures designed to address any such identified vulnerabilities.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Security incidents, whether actual or perceived, experienced by us or third parties on whom we rely may result in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voluntary or mandatory notifications of guests, regulators, and other relevant stakeholders, the provision of credit monitoring and identity theft protection services or other potentially costly actions, lost revenues or other financial loss, and other similar harms. For example, in August 2023, a purported class action lawsuit was filed against the Company in connection with a previous security incident, asserting claims based on the Company’s alleged failure to secure and safeguard the personally identifiable information of the putative class, which was subsequently dismissed. Security incidents and attendant consequences may cause guests to stop using our services, deter new guests from using our services, and negatively impact our ability to grow and operate our business, including by damaging our reputation. We incur costs in an effort to detect and prevent security breaches and other security-related incidents and we expect our costs will increase as we make improvements to our systems and processes designed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These issues are likely to become more difficult to manage as we expand the number of jurisdictions where we operate and the number and variety of services we offer, as we integrate our systems and technologies with those of additional third parties, and as the tools and techniques used in such attacks become more advanced. Our insurance policies have coverage limits and deductibles and such insurance coverage may not be adequate to protect us from or mitigate liabilities and losses caused by security breaches or incidents or otherwise related to our data privacy, protection, and security obligations, and we cannot be sure that such coverage will pay future claims or will continue to be available on commercially reasonable terms or at all. Additionally, our contracts may not contain limitations of liability, and even where they do, there can be no assurance that limitations of liability in our contracts are sufficient to protect us from liabilities, damages, or claims related to our data privacy, protection, and security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System capacity constraints or operational failures could materially adversely affect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experienced rapid growth in consumer traffic to our website and usage of our app, and our portfolio of properties has grown and diversified. If our technologies, systems, and network infrastructure cannot be expanded, are not scaled to cope with increased demand, or fail to perform, we could experience unanticipated disruptions in bookings and guest service, slower response times, decreased guest satisfaction, and delays in our operations.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event of certain system failures, we may not have back-up systems, or may be unable to switch to back-up systems immediately, and the time to full recovery could be prolonged. We have experienced system failures from time to time, including failures of important guest-facing systems such as keyless entry systems. In addition to placing increased burdens on our engineering staff, these outages can create a significant number of guest issues and complaints that need to be resolved by our guest services team. Any unscheduled interruption in our service could result in an immediate and significant loss of revenue, an increase in guest support costs (including refunds and reimbursements), harm our reputation, and could result in some consumers switching to competitors or making claims against us. If we experience frequent or persistent system failures, our brand and reputation could be permanently and significantly harmed, and our business, results of operations, financial condition, and cash flows could be materially adversely affected. Our ongoing efforts to increase the reliability of our systems may be expensive and may not be completely effective in reducing the frequency or duration of unscheduled downtime or in system errors affecting guest experience or our operations. We do not carry business interruption insurance sufficient to compensate us for all losses that may occur.</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use both internally developed systems and third-party systems to operate our mobile app, website, and other critical infrastructure, including transaction and payment processing, financial and accounting systems, and certain technology-enabled features at guest properties, with systems provided by both commercial software providers and Marriott. If the number of users of our systems increases substantially, or if critical internally developed or third-party systems stop operating as designed, we or our providers may need to significantly upgrade, expand, or repair such systems and other infrastructure. We or our providers may not be able to upgrade these systems and infrastructure to accommodate such conditions in a timely manner and our systems could be impacted for a meaningful period of time, which could materially adversely affect our business, results of operations, financial condition, and cash flows. The software underlying our services is highly complex and may contain undetected errors or vulnerabilities, some of which may only be discovered after the code has been released. Any errors or vulnerabilities discovered in the codes used after release could result in damage to our reputation, loss of guests, disruption to our sales channels, loss of revenue, or liability for damages, any of which could adversely affect our growth prospects and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interruptions may increase our costs or reduce our revenues.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depend on beneficial vendor relationships and the effectiveness of our supply chain management systems to ensure reliable and sufficient supply, on reasonably favorable terms, of materials used in our renovation, building openings, and operating activities, such as furniture, linens, unit decor and appliances, lighting, security equipment, and consumables. The materials we purchase and use in the ordinary course of our business are sourced from a wide variety of suppliers around the world, including Vietnam, China, India, and the United States. We have experienced and may again experience disruptions in our supply chain, including those that result from public health crises, weather-related events, natural disasters, trade restrictions, tariffs, cyberattacks, increases in interest rates, inflationary pressures, border controls, acts of war, terrorist attacks, third-party strikes, work stoppages or slowdowns, shipping capacity constraints, supply or shipping interruptions, or other factors beyond our control. In the event of disruptions in our existing supply chain, the labor and materials we rely on may not be available at reasonable rates or at all. In some cases, we may rely on a single source for procurement of furniture or other supplies in a given region. Our supply chain also depends on third-party warehouses and logistics providers. Any disruption in the supply, storage, or delivery of materials to our properties could disrupt operations at our existing locations or significantly delay our opening of a new location, which may cause harm to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liability claims and our insurance may be inadequate to cover our losses.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subject to various types of liability claims in the operation of our business. Despite the procedures, systems, and internal controls we have implemented to avoid or mitigate risks, we have experienced and may experience additional claims and incur liabilities, whether through a weakness in these procedures, systems and internal controls, or because of negligence or the willful act of an employee, contractor, guest, or other third-party. Our insurance policies may be inadequate to cover the potentially significant losses that may result from claims arising from incidents related to our units or leased properties, guest or employee acts or omissions, disruptions in our service, including those caused by cybersecurity incidents, failures or disruptions to our infrastructure, catastrophic events, and disasters, or otherwise. In addition, such insurance may not be available to us in the future on economically reasonable terms or at all, and insurance may not cover all claims made against us and related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natural disasters, geopolitical conflicts, public health concerns, and other catastrophic events.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significant natural disaster could materially adversely affect our business, results of operations, financial condition, and cash flows. In addition, climate change could result in an increase in the frequency or severity of natural disasters and cause performance problems with our technology infrastructure. Although we maintain incident management and disaster response plans, in the event of a major disruption caused by a natural disaster or man-made problem, or outbreak of pandemic diseases or other public health crises, we may be unable to continue our operations and may experience system interruptions and reputational harm. Acts of terrorism and other geopolitical unrest or armed conflict could also cause disruptions in our business or the business of our landlords, vendors or other business partners, or the economy as a whole.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Public health concerns and related governmental and business responses had, and may again have, an adverse effect on our customers, employees, landlords and other potential business partners, and our operations. For example, public health concerns and efforts to mitigate the spread of infectious diseases have caused severe economic disruptions around the world as governments, public institutions, and other organizations imposed or recommended, at various times and degrees, restrictions on a wide array of activities, including travel and in-person gatherings, mandatory vaccination requirements, quarantines, and lock-downs. Disease outbreaks have drastically reduced and may again drastically reduce demand for accommodations, adversely impact guest services, and require us to take drastic steps to reduce operating costs, including phasing units from our portfolio and laying off or furloughing employees. Similar actions that may be taken in response to any future public health crisis may adversely impact our business, operations, growth, and financial results.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technology contains third-party open-source software components, and failure to comply with the terms of the underlying open source software licenses could restrict our ability to operate as intended or could increase our costs.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technology contains software modules licensed to us by third-party authors under “open source” licenses.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their products. In addition, the public availability of such software may make it easier for others to compromise our technology.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Some open-source licenses contain requirements that we make available source code for modifications or derivative works we create based upon the type of open source software we use, or grant other licenses to our intellectual property. If we combine our proprietary software with open-source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monitor our use of open-source software to avoid subjecting our technology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technology. From time to time, there have been claims challenging the ownership of open-source software against companies that incorporate open source software into their solutions. As a result, we could be subject to lawsuits by parties claiming ownership of what we believe to be open-source software. Moreover, we cannot assure you that our processes for controlling our use of open-source software in our technology will be effective. If we are held to have breached or failed to fully comply with all the terms and conditions of an open source software license, we could face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infringement or other liability, or be required to seek costly licenses from third parties to continue providing our offerings on terms that may not be economically feasible, re-engineer our technology, discontinue or delay the provision of our offerings if re-engineering could not be accomplished on a timely basis or make generally available, in source code form, our proprietary code, any of which could adversely affect our business, results of operations, financial condition, and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protect our brand and other intellectual property, and we have been and may be subject to legal proceedings and claims relating to intellectual property rights.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intellectual property is important to our success. We rely on a combination of trademark, copyright, and trade secret laws, employee, and third-party non-disclosure and invention assignment agreements, and other methods to protect our intellectual property. However, these only afford limited protection, and unauthorized parties may attempt to copy aspects of our services, technology, mobile app, algorithms, or other features and functionality, or to use information that we consider proprietary or confidential. There can be no assurance that any of our intellectual property will be protectable by patents and any unsuccessful efforts to obtain patent protection may harm our business. In addition, the laws of some foreign countries do not protect proprietary rights to the same extent as do the laws of the United States. There can be no assurance that the steps taken by us to protect our proprietary rights will be adequate or that third parties will not infringe or misappropriate our trademarks, copyrights, and similar proprietary rights. We endeavor to defend our intellectual property rights diligently, but intellectual property litigation is expensive, time-consuming, and may divert managerial attention and resources from our business objectives. We may not be able to successfully defend our intellectual property rights, which could have a material adverse effect on our business, brand, and results of operations.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and in the ordinary course of business, we have been and may be subject to legal proceedings and claims relating to the intellectual property rights of others, and we expect that third parties will continue to assert intellectual property claims, in particular trademark claims, against us, particularly as we expand the complexity and scope of our business. Successful claims against us could result in a significant monetary liability or prevent us from operating our business, or portions of our business. In addition, resolution of claims may require us to obtain licenses to use intellectual property rights belonging to third parties, which may be expensive to procure, or to cease using those rights altogether. Any of these events could have a material adverse effect on our business, results of operations, financial condition,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expend resources relating to the opening, operation, and maintenance of our leased properties, which may be higher than anticipated.</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typically devote resources to prepare a newly leased property for its initial guests and to keep our leased properties in a safe and attractive condition and in compliance with applicable laws and regulations. We may be required to expend substantial resources to remedy any noncompliance at our leased properties, or to defend against complaints of noncompliance, even if they lack merit. Although we endeavor to have the landlord or developer bear the out-of-pocket opening costs, we are sometimes responsible for all or a portion of these costs. Even where landlords and developers are contractually responsible for some costs, they have in the past and may in the future dispute or fail to comply with their obligations. In addition, while the majority of our leases require landlords to bear responsibility for the repair and maintenance of building structures and systems, at times we are responsible for some of these obligations, and in most cases, we are responsible for the repair and maintenance of damage caused by our guests. Our leases may also require that we return the space to the landlord at the end of the lease term in essentially the same condition it was delivered to us, which may require repair work. The costs associated with our building openings, repair, and maintenance may be significant and may vary from our forecasts. Additionally, failing to comply with the requirements of applicable laws and regulations could subject us to fines, penalties, injunctive action, costly legal proceedings, an award of damages to private litigants, mandated capital expenditures to remedy such noncompliance, reputational harm, and other business effects that could materially and adversely affect our brand and results of operations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periodically refurbish some of our units to keep pace with the changing needs of our guests and to maintain our brand and reputation. Although we include estimated refurbishments in our business and financial planning, refurbishments may result in lost revenues at the affected unit, be more costly and time-consuming than expected, impair guest experience, and otherwise adversely affect our results of operations, financial condition, and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properties are concentrated in a limited number of cities, which increases our exposure to local factors affecting demand or hospitality operations.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operations are relatively concentrated in a limited number of cities, and we expect that the majority of our operations will continue to be concentrated in a limited number of cities. As of December 31, 2024, our five largest cities (New York City, Dubai, Montreal, Miami, and London) accounted for approximately 37% of our Live Units, and our 10 largest cities accounted for approximately 60% of our Live Units. Geographic concentration magnifies the risk to us of localized economic, political, public health, and other conditions such as natural disasters. Civil unrest, public health crises, unusual weather, natural disasters, or other factors affecting travel to these cities or other markets in which we are expanding, as well as changes in local competitive conditions and regulations affecting the hospitality industry, may have a disproportionate negative effect on our revenue and on our ability to secure sufficient staffing, supplies, or services for our largest markets.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fluctuations in currency exchange rates.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Since we conduct a portion of our business outside the United States but report our results in U.S. dollars, we face exposure to adverse movements in currency exchange rates, which may cause our revenue and operating results to differ materially from expectations. In addition, fluctuation in our mix of U.S. and foreign currency denominated transactions may contribute to this effect as exchange rates vary. Moreover, as a result of these exchange rate fluctuations, revenue, cost of revenue, operating expenses, and other operating results may differ materially from expectations when translated from the local currency into U.S. dollars upon consolidation. For example, if the U.S. dollar strengthens relative to foreign currencies, our non-U.S. revenue would be adversely affected when translated into U.S. dollars. Conversely, a decline in the U.S. dollar relative to foreign currencies would increase our non-U.S. revenue when translated into U.S. dollars. As exchange rates vary, revenue, cost of revenue, operating expenses, and other operating results, may differ materially from expectations. In addition, our revenue and operating results are subject to fluctuation if our mix of U.S. and foreign currency denominated transactions and expenses changes in the future. We do not currently have hedging arrangements to manage foreign currency exposure. If we do enter into such arrangements in the future, such activity may not completely eliminate fluctuations in our operating results.</w:t>
      </w:r>
    </w:p>
    <w:p>
      <w:pPr>
        <w:spacing w:after="0" w:line="1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introduce new or upgraded amenities, services, or features that guests recognize as valuable, we may fail to attract guests, property developers, and landlords. Our efforts to develop new and upgraded services and amenities could require us to incur significant costs and losses.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order to continue to attract new guests and generate repeat bookings from previous guests, and to attract property developers, and landlords, we will need to continue to invest in the development of new amenities, services, and features that add value to the Sonder brand and differentiate us from our competitors, including those we develop ourselves or obtain from third parties. The success of any new amenity, service, or feature depends on several factors, including its timely completion, strategic introduction, and market acceptance, all of which remain subject to various uncertainties. If guests, property developers, and landlords do not recognize the value of the new amenities, services, or features, they may choose not to engage with us.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Developing and delivering these new or upgraded amenities, services, and features is costly and involves inherent risks and difficulties. Consumer preferences for interior design and furnishings and technology-related services are subject to frequent change. Technology development efforts may be unsuccessful and any new features or services offered to guests through our website or app may be difficult to manage or maintain. In addition, some new or upgraded amenities, services, and features may be difficult for us to continue to market, require additional regulatory permits and personnel, subject us to additional liabilities, and involve unfavorable pricing or fees. Further, the efforts required to develop, integrate, launch, and maintain new amenities, services, and features could divert resources away from other projects and initiatives. We cannot guarantee that such efforts will succeed or that new or upgraded amenities, services, and features will work as intended, provide their expected value, or result in a positive return on investment.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could harm our future operating results.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subject to federal and state income taxes in the United States and in various international jurisdictions. Our provision for income taxes and our effective tax rate are subject to volatility and could be adversely affected by several factors, including:</w:t>
      </w:r>
    </w:p>
    <w:p>
      <w:pPr>
        <w:spacing w:after="0" w:line="14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being lower than anticipated in countries that have lower tax rates and higher than anticipated in countries that have higher tax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certain non-tax-deductible expenses, including those arising from the requirement to expense stock options;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our deferred tax assets and liabilities;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outcomes resulting from any tax audit, including transfer pricing adjustments with respect to intercompany transactions;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net operating losses, research and development credits, and other deferred tax assets;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or changes in tax laws and regulations, or the application of the tax laws and regulations, including possible U.S. changes to the deductibility of expenses attributable to foreign income or the foreign tax credit rules.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cause us to be subject to the tax laws of various jurisdictions and we could be obligated to pay additional taxes, which could materially adversely affect our business, results of operations, financial condition, cash flows, and prospects.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generally conduct our international operations through wholly owned subsidiaries and are or may be required to report our taxable income in various jurisdictions worldwide based upon our business operations in those jurisdictions. Our intercompany relationships are subject to complex transfer pricing regulations administered by tax authorities in various jurisdictions. The amount of taxes we pay in different jurisdictions may depend on the application of the tax laws of such jurisdictions, including the United States, to our international business activities, changes in tax rates, new or revised tax laws, interpretations of existing tax laws and policies, and our ability to operate our business in a manner consistent with our corporate structure and intercompany arrangements. The relevant tax authorities have in the past disagreed and may in the future disagree with our determinations as to the income and expenses attributable to specific jurisdictions. If additional disagreements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the Organization for Economic Co-operation and Development (“OECD”) issued final action items or proposals related to its initiative to combat base erosion and profit shifting (“BEPS”). One BEPS proposal redefines a “permanent establishment” under treaty tax law, and changes how profits would be attributed to the permanent establishment. The OECD also introduced a framework, referred to as Pillar Two, which contemplates a global minimum effective tax rate of 15% for companies with revenue exceeding a minimum threshold and was implemented by the Council of the European Union and its member states and has been implemented or considered for implementation by other jurisdictions. However, the current administration has withdrawn support for Pillar Two and Pillar Two does not currently apply to the Company. Some of the BEPS and related proposals, and changes in reaction to such proposals, if applicable in the countries where we do business, could increase the burden and costs of our tax compliance and our global effective tax rate if they become applicable to us.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currently collect and remit applicable sales taxes and other applicable transaction taxes in jurisdictions where we, through our employees or economic activity, have a presence and where we have determined, based on applicable legal precedents, that sales of travel accommodations are classified as taxable. We do not currently collect and remit state and local excise, utility user, or transfer taxes, fees, or surcharges in jurisdictions where we believe we do not have sufficient “nexus.” There is uncertainty as to what constitutes sufficient nexus for a state or local jurisdiction to levy taxes, fees, and surcharges on sales made over the Internet, and there is also uncertainty as to whether our characterization of our traveler accommodations in certain jurisdictions will be accepted by state and local tax authorities. For example, in January 14, 2025, the Upper Tribunal in the United Kingdom ruled that Sonder Europe was required to account for value added taxes (“VAT”) on the full value of its supplies to travelers. While we intend to appeal this decision, if our appeal is unsuccessful, our tax situation in the United Kingdom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application of indirect taxes, such as sales and use, value added, goods and services, business, and gross receipts taxes, to businesses that transact online, such as ours, is a complex and evolving area. Where we sell our services through OTAs, we do not directly control how taxes are collected or remitted. There are substantial ongoing costs associated with complying with the various indirect tax requirements in the numerous markets in which we conduct or may conduct business, and resource and local personnel constraints can make it difficult for us to collect local taxes due from guests accurately, which could result in unanticipated additional tax liabilities. If an OTA does not collect such taxes from travelers, we could be held liable for such obligations. The application of existing or future indirect tax laws, whether in the United States or internationally, or the failure to collect and remit such taxes, could materially adversely affect our business, results of operations, financial condition, cash flows, and prospects.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existing tax laws, rules or regulations are amended, or if new unfavorable tax laws, rules or regulations are enacted, including with respect to occupancy, sales, value-added taxes, withholding taxes, revenue-based taxes, unclaimed property, or other tax laws applicable to the multinational businesses, the results of these changes could increase our tax liabilities. Possible outcomes include double taxation, multiple levels of taxation, or additional obligations, prospectively or retrospectively, including the potential imposition of interest and penalties. Demand for our products and services could decrease if such costs are passed on to our guests, result in increased costs to update or expand our technical or administrative infrastructure or effectively limit the scope of our business activities should we decide not to conduct business in particular jurisdictions.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 (“NOL”) carryforwards and other tax attributes may be limited due to prior and potential future ownership changes.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net operating loss (“NOL”) carryforwards are subject to review and possible adjustment by the Internal Revenue Service (the “IRS") and state and foreign tax authorities, and our ability to use such NOLs and other tax attributes may be subject to an annual limitation due to ownership change limitations provided by the U.S. Internal Revenue Code of 1986, as amended (the “Code”) and similar state provisions. In general, under Sections 382 and 383 of the Code, a corporation that undergoes an “ownership change” is subject to limitations on its ability to utilize its pre-change NOLs or tax credits to offset future taxable income or taxes. For these purposes, an ownership change generally occurs where the aggregate stock ownership of one or more stockholders or groups of stockholders who own at least 5% of a corporation’s stock increases their ownership by more than 50 percentage points over their lowest ownership percentage within a specified testing period.</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we have undergone an ownership change in the past, and we may undergo one or more ownership changes in the future. If our ability to use our historical NOLs or credits is materially limited due to prior or potential future ownership changes, it would harm our future operating results by effectively increasing our future tax obligations. Section 382 and 383 of the Code would apply to all net operating loss and tax credit carryforwards, whether the carryforward period is indefinite or not. If we earn taxable income, such limitations could result in increased future tax liability to us, and our future cash flows could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anti-corruption laws and similar laws, could subject us to penalties and other adverse consequences.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FCPA, the U.S. Travel Act, the United Kingdom Bribery Act 2010, and possibly other anti-bribery and anti-corruption laws in countries outside of the United States in which we conduct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sometimes the private sector.</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sometimes engage third parties to conduct our business abroad. We and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guarantee that all of our employees and agents will not take actions in violation of applicable law, for which we may be ultimately held responsible. As we increase our international sales and business, the risks under these laws may increase.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laws also require that we keep accurate books and records and maintain internal controls and compliance procedures designed to prevent any such actions. While we have policies and procedures to address compliance with such laws,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cannot guarantee that none of our employees, agents, representatives, business partners or third-party intermediaries will take actions in violation of Company policies and applicable law, for which we may be ultimately held responsible.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allegations of or actual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and economic sanctions programs that could impair our ability to compete in international markets or subject us to liability if we violate these controls.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many cases, our business activities are subject to U.S. and international import and export control laws and regulations including trade and economic sanctions maintained by the Office of Foreign Assets Control. For example, restrictions may exist on our ability to provide services to persons located in certain U.S. embargoed or sanctioned countries or listed on certain lists of sanctioned persons. U.S. and other international authorities recently imposed, and may further impose, sanctions related to the military conflict between Russia and Ukraine. Additionally, the import of furniture used in various properties must be conducted in accordance with applicable import laws and regulations. While we have policies and procedures in place designed to ensure compliance with sanctions and trade restrictions and other applicable laws, our employees, contractors, partners, and agents may take actions in violation of such policies and applicable law, for which we may be ultimately held responsible. If we were to fail to comply with such import or export control laws and regulations, trade and economic sanctions, or other similar laws, we could be subject to both civil and criminal penalties, including substantial fines, possible incarceration for employees and managers for willful violations, damage to our reputation, and the possible loss of export or import privileges, any of which could have a material and adverse impact on our business, results of operations, financial condition,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Unfavorable changes in government regulations or taxation of the short-term and long-term rental, Internet, and e-commerce industries could harm our operating results.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operate in markets throughout the world and are subject to various regulatory and taxation requirements of the jurisdictions in which we operate. Our regulatory compliance efforts are burdensome because each local jurisdiction has different requirements, including with respect to zoning, licensing, permitting, sanitation, accessibility, taxes, employment, labor and health and safety, and regulations in the industry are constantly evolving. Compliance requirements that vary significantly from jurisdiction to jurisdiction reduce our ability to achieve economies of scale, add compliance costs, and increase the potential liability for compliance deficiencies. Additionally, laws or regulations that increase our costs, require changes in our business practices, or otherwise harm our business could be adopted, or interpreted in a manner that affects our activities, including but not limited to the regulation of personal and consumer information, consumer advertising, labor laws, accessibility, health and safety, taxation, and real estate, hotel licensing, and zoning requirements. Violations or new interpretations of these laws or regulations may result in penalties, disrupt our ability to operate existing properties or to develop new ones, negatively impact our guest relations or operations in other ways, increase our expenses, and damage our reputation and business. Even when we are in compliance with applicable laws, a suspected violation of these laws or regulations can temporarily disrupt our ability to operate existing properties, negatively impact our guest relations or operations in other ways, damage our reputation and business, and result in loss of revenues, even if the matter is ultimately resolved in our favor.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there have been, and continue to be, regulatory developments that affect our ability to offer units for specified durations or in certain neighborhoods. For example, some municipalities have adopted ordinances that limit our ability to offer certain properties to guests for fewer than a stated number of consecutive nights, such as 30 nights, or for more than an aggregate total number of nights per year, and other cities may introduce similar regulations, including after we have already leased properties and booked guests. The regulation of short-term rentals and related government enforcement efforts have been increasing in scope and intensity in many cities, often due to government concerns about affordable housing or over-tourism, or due to pressures from private groups such as neighborhood associations. Even where we operate in compliance with existing regulations, local groups or governments have occasionally argued that we should comply with additional or different requirements, and similar developments can be expected in the future. Any such developments could reduce our revenues by limiting our ability to open or continue operating at certain properties or in certain cities, damage our reputation with landlords and others, result in expensive and disruptive disputes or regulatory proceedings, or require burdensome changes to our operations. In addition, many of the fundamental statutes and regulations that impose taxes or other obligations on travel and hospitality companies were established before the growth of the Internet and e-commerce, which creates a risk of these laws being used in ways not originally intended that could harm our business. These and other similar new and newly interpreted regulations could increase our costs, require us to reduce or even cease operations in certain locations, reduce the diversity and number of units available for us to lease and offer to guests, and otherwise harm our business and operating results.</w:t>
      </w:r>
    </w:p>
    <w:p>
      <w:pPr>
        <w:spacing w:after="0" w:line="3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have been involved in and expect to continue to become involved in challenges to or disputes with government agencies regarding interpretations of laws and regulations. New, changed, or newly interpreted or applied laws, statutes, rules, regulations or ordinances, could also increase landlords’ compliance, operating and other costs. This, in turn, could deter landlords from renting their properties to us, negatively affect lease renewals, impair landlords’ ability or willingness to repair and maintain leased properties, or increase costs of doing business. Any or all of these events could adversely impact our business and financial performance.</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increased costs and demands upon management as a result of complying with the laws and regulations affecting public companies, which could adversely affect our business, results of operations, financial condition, and cash flows. In addition, key members of our management team have limited experience managing a public company.</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incur substantial legal, accounting, and other expenses as a public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Nasdaq. Our management and other employees devote a substantial amount of time to comply with these requirements and we expect these rules and regulations to substantially increase our legal and financial compliance costs. For example, these rules and regulations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(the “Board”),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controls over financial reporting.</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significant regulatory oversight and reporting obligations under the federal securities laws, and the continuous scrutiny of securities analysts and investors, associated with being a public company. These obligations and constituents require significant attention from our senior management and could divert their attention away from the day-to-day management of our business, which could adversely affect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and the third parties with whom we work are subject to stringent and evolving U.S. and foreign laws, rules, contractual obligations, industry standards, policies, and other obligations relating to data privacy, protection, and security. Any actual or perceived failure to comply with such obligations has and could again result in adverse consequences, including but not limited to regulatory investigations or actions, litigation (including class claims), fines and penalties, disruptions of our business operations, reputational harm, loss of revenue or profits, loss of customers or sales, and other adverse business consequences.</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data processing activities subject us to numerous data privacy, protection, and security obligations, such as various laws, regulations, guidance, industry standards, external and internal privacy and security policies, contractual requirements, and other obligations relating to data privacy and security.</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In the past few years, numerous U.S. states, including states in which we operate, have enacted comprehensive privacy laws that impose certain obligations on covered businesses, including providing specific disclosures in privacy notices and giving residents certain rights concerning their personal data. Such rights may include the right to access, correct, or delete certain personal data, and to opt-out of certain data processing activities, such as targeted advertising, profiling, and automated decision-making. The exercise of these rights may adversely impact our business and ability to provide our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and requires businesses to provide specific disclosures in privacy notices and honor requests of California residents to exercise certain privacy rights. The CCPA provides for civil penalties per violation and allows private litigants affected by certain data breaches to recover significant statutory damages. Similar laws have been enacted or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govern data privacy, protection, and security, and our collection, processing, and security of data may be subject to these laws, regulations, and industry standards. For example, the GDPR imposes strict requirements for processing personal data. In Canada, the PIPEDA, Canada’s Anti-Span Legislation, and various related provincial laws may apply to our operations. The penalties for violation of these international laws, regulations, and industry standards can be severe.</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if we fail to comply with the requirements for a legally-compliant transfer or such requirements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could be adversely affected if legislation or regulations are expanded to require changes in our business practices or if governing jurisdictions interpret or implement their legislation or regulations in ways that negatively affect our business, results of operations, financial condition, and cash flows. For example, federal, state, and international governmental authorities continue to evaluate the privacy implications inherent in the use of third-party “cookies” and other methods of online tracking for behavioral advertising and other purposes. The United States and foreign governments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United States, the CCPA grants California residents the right to opt-out of a company’s sharing of personal data for advertising purposes in exchange for money or other valuable consideration and requires covered businesses to honor user-enabled browser signals from the Global Privacy Control.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Regulation of the use of these cookies and other online tracking and advertising practices, or a loss in our ability to make effective use of services that employ such technologies, could increase our costs of operations, and limit our ability to track trends, optimize our services, or acquire new guests on cost-effective terms and consequently, materially adversely affect our business, results of operations, financial condition, and cash flows. As a result, we may be required to change the way we market our accommodations and services.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Recently, these practices have been subject to increased challenges by class action plaintiffs, and our inability or failure to obtain consent for these practices could result in adverse consequences, including class action litigation and mass arbitration demands. Such a demand could allow for the recovery of statutory damages on a per violation basis, which could be significant depending on the volume of data and the number of violations.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Regulators and legislatures at the local, state, and national level are also taking an increased interest in regulating the collection and use of biometric data, which plays an important role in our trust and safety processes. Specifically, the third parties that provide the identity verification process for us may use facial geometry data to verify that a guest’s selfie picture matches the photograph on the government-issued identification provided by the guest, similar to a front desk worker at a traditional hotel visually comparing a guest’s government identification to the guest’s face. Legislation such as the EU GDPR and the Illinois Biometric Information Privacy Act (“BIPA”), as well as other U.S. and foreign laws and regulations, place tight regulation on the collection, use, and sharing of biometric information, as well as requirements for notice and consent from individual data subjects. Violations of these laws may result in significant fines, damages, and other penalties. For example, BIPA provides for substantial penalties and statutory damages and has generated significant class action activity, and the cost of litigating and settling any claims that we have violated BIPA or similar laws could be significant. New laws and regulations regarding the collection, use, and sharing of biometric data have also recently been proposed or enacted in other states, and the eventual impact of those laws and regulations on Sonder’s operations remains uncertain. A failure, or alleged or perceived failure, by us to comply with these requirements could adversely affect our reputation, brand, and business, and may result in claims, proceedings, or actions against us by governmental entities or private litigants or require us to change our operations and/or our ability to ensure the safety of our guests, which could adversely affect our reputation or require us to make significant investments in new technologies or processes.</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Additionally, our employees and personnel use generative artificial intelligence (“AI”) technologies to perform their work, and the use, disclosure and other processing of personal data by or with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We use AI and machine learning (“ML”) to assist us in making certain decisions, which is regulated by certain laws and regulations. Due to inaccuracies or flaws in the inputs, outputs, or logic of AI or ML, the model could be biased and could lead us to make decisions that could bias certain individuals (or classes of individuals), and adversely impact their rights, employment, and ability to obtain certain pricing, products, services, or benefits. If we are unable to use AI or ML, or face substantial restrictions or compliance burdens in connection with our doing so, it could make our business less efficient and result in competitive disadvantages.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EU also has implemented new and revised laws and regulations relating to cybersecurity, including the Network and Information Security Directive II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 We may incur substantial expense in complying with obligations under laws and regulations relating to data privacy, protection, and security in the EU, United Kingdom, and other jurisdictions, and we may be required to make significant changes in our business operations, all of which may adversely affect our revenues and our business overall.</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Obligations related to data privacy, protection, and security (and expectations from consumers) are quickly changing, becoming increasingly stringent, and creating uncertainty. Additionally, these obligations may be extremely complex, and subject to different and inconsistent applications and interpretations.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protection, or security obligations. Moreover, despite our efforts, our personnel or third parties on whom we rely may fail to comply with such obligations, which could negatively impact our business operations. If we or the third parties with whom we work fail, or are perceived to have failed, to address or comply with applicable data privacy, protection, or security obligations, we could face significant consequences, including (but not limited to) government enforcement actions (e.g., investigations, fines, penalties, audits, and inspections), litigation (including class-action claims) and mass arbitration demands, additional reporting requirements and oversight, indemnification obligations, bans on processing personal data or credit cards, and orders to destroy or not use personal data. For example, in August 2023, a purported class action lawsuit was filed against the Company asserting claims based on the Company’s alleged failure to secure and safeguard the personally identifiable information of the putative class, which was subsequently dismissed. Additionally, plaintiffs have become increasingly active in bringing privacy- and security-related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results of operations, financial condition, and cash flows.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consumer protection, marketing and advertising laws, including with regard to direct marketing and internet marketing practices, could result in fines or place restrictions on our business.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is subject to various laws and regulations governing consumer protection, advertising, and marketing. We have encountered and may continue to encounter governmental and private party investigations and complaints in areas such as the clarity, transparency, accuracy, and presentation of information on our website or in third-party listings of our properties, which are common in our industry. In addition, our marketing activities will be subject to various laws and regulations in the U.S. and internationally that govern online and other direct marketing and advertising practices. For example, the Telephone Consumer Protection Act of 1991 (“TCPA”) imposes specific requirements on communications with customers and various consumer consent requirements and other restrictions on certain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Our marketing activities could be restricted, our guest relationships and revenues could be adversely affected, and our costs could increase, due to changes required in our marketing, listing, or booking practices, or any investigations, complaints, or other adverse developments related to these laws and regulations.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Industry-specific payment regulations and standards are evolving, and unfavorable industry-specific laws, regulations, interpretive positions or standards could harm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payment processors expect attestation of compliance with the Payment Card Industry (“PCI”) Data Security Standards. If we are unable to comply with these guidelines or controls due to changes in business processes, supporting technology, or core technology, or if our third-party payment processors are unable to obtain regulatory approval to use our services where required, our business may be harmed. For example, failing to maintain our attestation of compliance for PCI could result in monthly fines or other adverse consequences until compliance is re-established via an external PCI qualified security assessor. Existing third parties or future business partnerships may opt out of processing payment card transactions if we are unable to achieve or maintain industry-specific certifications or other requirements or standards relevant to our guests, business partners,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Indebtedness and Liquidity</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There is substantial doubt about the Company’s ability to continue as a going concern, and this may adversely affect our stock price, our ability to raise capital or enter into strategic transactions, and our relationships with key stakeholders.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accordance with ASC Topic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As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to the consolidated financial statements included in this Annual Report on Form 10-K, the Company has, throughout 2025, announced certain financing and investment arrangements. While the 2025 actions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plans to address the substantial doubt about the Company’s ability to continue as a going concern, as described above, include the following actions:</w:t>
      </w:r>
    </w:p>
    <w:p>
      <w:pPr>
        <w:spacing w:after="0" w:line="199" w:lineRule="exact"/>
        <w:rPr>
          <w:sz w:val="20"/>
          <w:szCs w:val="20"/>
          <w:color w:val="auto"/>
        </w:rPr>
      </w:pPr>
    </w:p>
    <w:p>
      <w:pPr>
        <w:ind w:left="480" w:hanging="220"/>
        <w:spacing w:after="0"/>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8" w:lineRule="exact"/>
        <w:rPr>
          <w:rFonts w:ascii="Times New Roman" w:cs="Times New Roman" w:eastAsia="Times New Roman" w:hAnsi="Times New Roman"/>
          <w:sz w:val="17"/>
          <w:szCs w:val="17"/>
          <w:color w:val="auto"/>
        </w:rPr>
      </w:pPr>
    </w:p>
    <w:p>
      <w:pPr>
        <w:ind w:left="480" w:hanging="220"/>
        <w:spacing w:after="0" w:line="237"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7"/>
          <w:szCs w:val="17"/>
          <w:color w:val="auto"/>
        </w:rPr>
      </w:pPr>
    </w:p>
    <w:p>
      <w:pPr>
        <w:ind w:left="520" w:right="280" w:hanging="260"/>
        <w:spacing w:after="0" w:line="244" w:lineRule="auto"/>
        <w:tabs>
          <w:tab w:leader="none" w:pos="49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continuing to execute our portfolio optimization program to mitigate losses related to certain underperforming properties and to assess the Company’s portfolio of rents relative to current operations and existing market rents; and</w:t>
      </w:r>
    </w:p>
    <w:p>
      <w:pPr>
        <w:ind w:left="480" w:hanging="220"/>
        <w:spacing w:after="0" w:line="221" w:lineRule="auto"/>
        <w:tabs>
          <w:tab w:leader="none" w:pos="4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improving its financial performance through the potential to increase revenue by integrating with Marriott’s commercial engine and deliver costs savings.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There may be adverse impacts to the Company’s stock price, the Company’s ability to raise capital or enter into strategic transactions, or the Company’s relationship with its key stakeholders as a result of the uncertainty regarding our ability to continue as a going concern or the Company’s inability to successfully execute its substantial doubt mitigation plan. If we are unable to successfully execute our mitigation plan or obtain sufficient financial resources, our business, results of operations, financial condition, and cash flows could be materially and adversely affected and we may be forced to terminate, significantly curtail or cease our operations or to pursue other strategic alternatives, including, but not limited to, commencing a case under the U.S. Bankruptcy Code.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previously may again require additional capital to support business growth or respond to business challenges, and this capital might not be available in a timely manner or on favorable terms.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intend to continue investing in our business growth and may require additional funds to respond to business challenges, as we have in the past, including the need to develop or add new properties or services or enhance our existing properties or services, enhance our operating infrastructure, invest in the effort to integrate our properties with Marriott’s systems under the Marriott Agreement, add personnel, and acquire complementary businesses and technologies. Accordingly, we may need to engage in equity or debt financings to secure additional funds in the future, similar to recent financings that we’ve completed.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could involve restrictive covenants relating to financial and operational matters, which may make it more difficult for us to obtain additional capital and to pursue business opportunities, including potential acquisitions or strategic partnerships. Our outstanding shares of Series A Preferred Stock may also make it more difficult for us to raise capital in the future due to certain rights provided to the holders Series A Preferred Stock, including such holders’ senior rights relative to rights of the holders of our common stock and such holders’ right to collectively purchase on a pro-rata basis up to 25% of any equity offering until August 13, 2029 at a purchase price equal to 75% of the purchase price of any other investor in such offering, each as described below. If we are unable to obtain adequate or satisfactory financing when we require it, our ability to continue to support our business growth and to respond to business challenges could be significantly limited.</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indebtedness and credit facilities contain financial covenants and other restrictions on our actions that may limit our financial and operational flexibility or otherwise adversely affect our results of operations.</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terms of certain of our indebtedness and credit facilities include a number of covenants that limit our ability and our subsidiaries’ ability to, among other things, incur additional indebtedness, grant liens, merge or consolidate with other companies, sell or otherwise dispose of our assets, pay dividends, make redemptions and repurchases of stock, make investments, loans and acquisitions, change the nature of our business or engage in transactions with affiliates. In addition, we must comply with a minimum EBITDA covenant to the extent we have not cash collateralized letters of credit issued by our senior lender, as well as maintain our common stock’s listing on Nasdaq, and beginning in 2027, comply with a minimum free cash flow covenant and a minimum liquidity covenant. We have added additional letters of credit issuance facilities and may seek additional or replacement credit arrangements, in part to support letters of credit or other security instruments for our leases of guest properties. Any future credit arrangements may have stricter covenants or other more onerous terms than our current arrangements. The terms of our indebtedness and credit facilities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to compete against companies that are not subject to such restrictions.</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Any failure to comply with the covenants or payment requirements specified in our credit agreements has resulted and could again result in an event of default under the agreements, which, if not cured or waived, would give the lenders the right to terminate their commitments to provide additional loans, declare all borrowings outstanding, together with accrued and unpaid interest and fees, to be immediately due and payable, increase the interest rates applicable to such debt, and exercise rights and remedies, including by way of initiating foreclosure proceedings against any assets constituting collateral for the obligations under the credit facilities. If our debt were to be accelerated, we may not have sufficient cash or be able to borrow sufficient funds to refinance the debt or sell sufficient assets to repay the debt, which could immediately adversely affect our business, results of operations, financial condition, and cash flows. Even if we were able to obtain new financing, such financing may not be on commercially reasonable terms or on terms that are acceptable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not in compliance with Nasdaq’s requirements for continued listing of our securities, and if we fail to continue to meet the listing standards of Nasdaq, our common stock and Public Warrants may be delisted, which could have a material adverse effect on the liquidity and trading price of our common stock and warrants and on our ability to raise capital, and other adverse consequences.</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common stock and Public Warrants currently trade on The Nasdaq Global Select Market. Nasdaq has requirements for our equity securities to remain listed on Nasdaq, including, among others, rules requiring timely filing of SEC reports, governance rules including requirements for stockholder approval of certain transactions, and a rule requiring our common stock to maintain a minimum closing bid price of $1.00 per share. We have received notices from Nasdaq notifying us that, because we were delinquent in filing our required periodic reports with the SEC, we are not in compliance with Nasdaq</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Listing Rule 5250(c)(1). We submitted a plan to regain compliance and, although we are working diligently toward regaining compliance, no assurance can be given that we will file such reports within the time periods required by Nasdaq. If we fail to do so, we expect the Nasdaq staff to notify us that our securities will be delisted, and at that time, we expect to appeal that determination to a Nasdaq Hearing Panel. The outcome of any such Nasdaq process is inherently uncertain. There can be no assurance that we will remain in compliance with Nasdaq’s listing requirements in the future.</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If we fail to regain and maintain compliance with Nasdaq’s listing requirements, our common stock and Public Warrants could be delisted from Nasdaq. If that occurs, the liquidity of our common stock and Public Warrants would be adversely affected, and their market prices could decrease. Delisting would also constitute an event of default under certain of our debt instruments and our other contractual obligations, which would require us to expend cash to repay debt or replace letters of credit or could subject us to breach of contract claims. It could cause other adverse consequences, such as difficulties in raising capital and in providing stock-based incentives to attract and retain personnel. Delisting could also impair our reputation and our relationships with real estate owners and other business partners, which could make it more difficult or costly for us to expand our portfolio of leased properties. In addition, our common stock could be deemed to be a “penny stock,” which could result in reduced levels of trading in our common stock, and we would also become subject to additional State securities regulations in connection with any sales of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common stock and Public Warrants may be volatile and could decline significantly.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stock markets, including Nasdaq, have, from time to time, experienced significant price and volume fluctuations. Even if an active, liquid, and orderly trading market develops and is sustained for our publicly-traded securities, the market price of our common stock and our Public Warrants may be volatile and could decline significantly. In addition, the trading volume in our common stock and warrants may fluctuate and cause significant price variations to occur. The trading price of our common stock has experienced volatility and may continue to experience volatility. If the market price of our common stock declines significantly, you may be unable to resell your shares or warrants at or above the market price at which you acquired them. We cannot assure you that the market price of our common stock or warrants will not fluctuate widely or decline significantly in the future in response to a number of factors, including, among others, the following:</w:t>
      </w:r>
    </w:p>
    <w:p>
      <w:pPr>
        <w:spacing w:after="0" w:line="164"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of the risk factors presented in this report;</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differences or changes in our estimates, or in the estimates of analysts, for our revenues, Adjusted FCF, or other cash flow measures, results of operations, operating metrics, level of indebtedness, liquidity or financial condition;</w:t>
      </w:r>
    </w:p>
    <w:p>
      <w:pPr>
        <w:ind w:left="520" w:hanging="260"/>
        <w:spacing w:after="0"/>
        <w:tabs>
          <w:tab w:leader="none" w:pos="520" w:val="left"/>
        </w:tabs>
        <w:numPr>
          <w:ilvl w:val="0"/>
          <w:numId w:val="19"/>
        </w:numPr>
        <w:rPr>
          <w:rFonts w:ascii="Arial" w:cs="Arial" w:eastAsia="Arial" w:hAnsi="Arial"/>
          <w:sz w:val="14"/>
          <w:szCs w:val="14"/>
          <w:color w:val="auto"/>
        </w:rPr>
      </w:pPr>
      <w:r>
        <w:rPr>
          <w:rFonts w:ascii="Times New Roman" w:cs="Times New Roman" w:eastAsia="Times New Roman" w:hAnsi="Times New Roman"/>
          <w:sz w:val="14"/>
          <w:szCs w:val="14"/>
          <w:color w:val="auto"/>
        </w:rPr>
        <w:t>Actual or anticipated fluctuations in our quarterly or annual operating results;</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 including our recently announced transition of the Chief Executive Officer;</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listing requirements of Nasdaq, or the disclosure of any notifications from Nasdaq about the listing status of our common stock;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Sarbanes-Oxley Act or other laws or regulations;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or anticipated issuances, sales, resales or repurchases of our securities, or any amendments or adjustments in their terms, including but not limited to the issuance and resale of additional shares of common stock upon conversion of our outstanding shares of Preferred Stock;</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other publicity about us, our properties, or incidents at our propertie</w:t>
      </w:r>
      <w:r>
        <w:rPr>
          <w:rFonts w:ascii="Times New Roman" w:cs="Times New Roman" w:eastAsia="Times New Roman" w:hAnsi="Times New Roman"/>
          <w:sz w:val="14"/>
          <w:szCs w:val="14"/>
          <w:color w:val="008080"/>
        </w:rPr>
        <w:t>s</w:t>
      </w: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market valuations of other similar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other legal proceedings involving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disruptions in the financial markets, including sudden disruptions in the credit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potential or perceived control, accounting or reporting problems;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and guidelines;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infectious diseases, health epidemics and pandemics, natural disasters, war, acts of terrorism, cyberattacks, information security incidents, or responses to these events.</w:t>
      </w:r>
    </w:p>
    <w:p>
      <w:pPr>
        <w:spacing w:after="0" w:line="1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instituted against companies following periods of volatility in the market price of their shares. We have been subject to securities class action litigation and could encounter substantial costs and divert our management’s attention and resources, which could have a material adverse effect on us.</w:t>
      </w:r>
    </w:p>
    <w:p>
      <w:pPr>
        <w:spacing w:after="0" w:line="15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outstanding shares of Preferred Stock and the holders thereof have certain special rights. Such rights, as well as similar or other rights that may accompany any future issuance of shares of preferred stock, may adversely affect the voting power or value of our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us to issue, without the approval of our stockholders, one or more classes or series of preferred stock having such designations, powers, preferences, limitations and relative rights, including preferences over our common stock respecting dividends and distributions, as our Board may determine. The terms of one or more classes or series of preferred stock could adversely impact the voting power or value of our common stock.</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example, as of July 7, 2025, we had 60,113,000 shares of Preferred Stock outstanding. The Preferred Stock ranks senior to our common stock. The Preferred Stock has, and any future senior securities we may issue may have, priority upon liquidation. The shares of Preferred Stock are convertible into shares of common stock, have no stated maturity, and will remain outstanding indefinitely unless converted into common stock. The Preferred Stock will be convertible at the holders’ option into common stock at an initial conversion price of the lower of (i) $1.00 and (ii) a ten percent (10%) discount to the lowest daily VWAP of the common stock on the principal trading market therefor in the seven trading days prior to the date of delivery of an Optional Conversion Notice (as defined in the Certificate of Designation (as defined below)); provided that the conversion price will not be less than $0.50, as adjusted for any stock dividends, splits, combinations or other similar events on the common stock or Preferred Stock.</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holders of the Preferred Stock are also entitled to receive, when, as and if declared by the Board, cumulative dividends in cash (subject to certain conditions), at a rate of (a) fifteen percent (15.00%) through August 13, 2025, (b) ten percent (10.00%) from August 14, 2025 through August 13, 2027, and (c) five percent (5.00%) from August 14, 2027 through August 13, 2028 on the sum of (i) the liquidation preference per share of Preferred Stock and (ii) all accumulated and unpaid dividends (if any), payable quarterly, in arrears. Dividends accumulate on a daily basis from the most recent date as to which dividends have been paid, or, if no dividends have been paid, from the date of issuance of such shares of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 million of free cash flow (representing cash used in operating activities plus cash used in investing activities) over a twelve month period; or (y) August 13, 2028.</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purchasers of the shares of our Preferred Stock also have certain contractual rights. For example, we are obliged to file a registration statement under the Securities Act within 30 calendar days of the filing of this Annual Report with respect to the resale of shares of common stock receivable upon conversion of the Preferred Stock. The securities purchase agreements under which the shares of Preferred Stock were purchased give the purchasers thereunder the right to purchase up to 25% of any equity offering within the next five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rights of the Preferred Stock, as well as the rights we may provide in issuing shares of preferred stock in the future, may adversely affect the voting power or value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issued, and may in the future issue, shares of common stock or other equity securities, which may depress the price of our common stock and other publicly traded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the following securities outstanding:</w:t>
      </w:r>
    </w:p>
    <w:p>
      <w:pPr>
        <w:spacing w:after="0" w:line="200" w:lineRule="exact"/>
        <w:rPr>
          <w:sz w:val="20"/>
          <w:szCs w:val="20"/>
          <w:color w:val="auto"/>
        </w:rPr>
      </w:pPr>
    </w:p>
    <w:p>
      <w:pPr>
        <w:ind w:left="520" w:hanging="260"/>
        <w:spacing w:after="0" w:line="26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60,113,000 shares of Preferred Stock, which are currently convertible into shares of common stock at a conversion price of $1.00 per share, subject to certain limitations and adjustments, and after giving effect to all potential in-kind dividend payments and assuming the lowest conversion price, may be convertible into up to 24,872,000 shares of common stock;</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Warrants, which are exercisable for an aggregate of 724,997 shares of common stock at an exercise price of $230.00 per share;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Warrants to purchase an aggregate of 5,521,281 shares of common stock at a weighted average exercise price of $1.24 per share.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exercise or conversion of such securities will dilute the ownership interests of our other stockholders, and this dilution could be material. Any sales in the public market of our common stock issuable upon such exercises or conversions could adversely affect prevailing market prices of our common stock and Public Warrants. In addition, the existence of such exercisable or convertible securities may encourage short selling by stock market participants, because the common stock issuable upon exercise or conversion of such securities could be used to satisfy short positions, or anticipated exercises or conversions of such securities into shares of our common stock could depress the price of our common stock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guarantee that the Public Warrants will ever be in the money, and they may expire worthless.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Public Warrants are exercisable on the basis of 20 Public Warrants for one share of common stock, at an exercise price of $230.00 per share. There is no guarantee that the Public Warrants will ever be in the money prior to their expiration, and as such, the Public Warrants may expire worthless.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amend the terms of the Public Warrants in a manner that may be adverse to holders with the approval by the holders of at least 50.0% of the then-outstanding Public Warrants.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Public Warrants were issued in registered form under a warrant agreement with Computershare that provides that the terms of the Public Warrants may be amended without the consent of any holder to cure any ambiguity or correct any defective provision but requires the approval by the holders of at least 50.0% of the then-outstanding Public Warrants to make any change that adversely affects the interests of the registered holders. Accordingly, we may amend the terms of the Public Warrants in a manner adverse to a holder if holders of at least 50.0% of the then-outstanding Public Warrants approve of such amendment. Although our ability to amend the terms of the Public Warrants with the consent of at least 50.0% of the then-outstanding Public Warrants is unlimited, examples of such amendments could be amendments to, among other things, increase the exercise price of the Public Warrants, shorten the exercise period, or decrease the number of shares of Common Stock purchasable upon exercise of a Public Warrant.</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redeem unexpired Public Warrants prior to their exercise at a time and at a price that is disadvantageous to warrant holders, thereby making their Public Warrants worthless, and an exercise of a significant number of warrants could adversely affect the market price of our Common Stock</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the ability to redeem outstanding Public Warrants at any time after they become exercisable and prior to their expiration, at a price of $0.01 per Public Warrant; provided that the last reported sales price of our Common Stock equals or exceeds $360.00 per share for any 20 trading days within a 30 trading-day period ending on the third trading day prior to the date on which we give proper notice of such redemption to the warrant holders and provided certain other conditions are met. If and when the Public Warrants become redeemable by us, we may exercise our redemption right even if we are unable to register or qualify the underlying securities for sale under all applicable state securities laws. Redemption of the outstanding Public Warrants could force the warrant holders: (i) to exercise their Public Warrants and pay the exercise price therefore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Additionally, if a significant number of Public Warrant holders exercise their Public Warrants instead of accepting the nominal redemption price, the issuance of these shares would dilute other equity holders, which could reduce the market price of our Common Stock. As of the date of this report, our Common Stock has never traded above $360.00 per share.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redeem Public Warrants after they become exercisable for a number of shares of Common Stock determined based on the redemption date and the fair market value of our Common Stock, starting at a trading price of $200.00. Any such redemption may have similar consequences to a cash redemption described above. In addition, such redemption may occur at a time when the Public Warrants are “out-of-the-money,” in which case holders of Public Warrants would lose any potential embedded value from a subsequent increase in the value of the Common Stock had such holders’ Public Warrants remained outstanding.</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Provisions in the Amended and Restated Bylaws designate the Court of Chancery of the State of Delaware as the sole and exclusive forum for certain types of actions and proceedings that may be initiated by our stockholders, which could limit the ability of our stockholders to bring a claim in a judicial forum that it finds favorable for disputes with us or with our directors, officers or employees and may discourage stockholders from bringing such claims.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145"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of our directors, stockholders, officers or other employees to us or our stockholders;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arising pursuant to any provision of the Delaware General Corporation Law, our Amended and Restated Certificate of Incorporation or our Amended and Restated Bylaws;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governed by the internal affairs doctrine.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exclusive forum provision may limit a stockholder’s ability to bring a claim in a judicial forum that it finds favorable for disputes with us or any of our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as other provisions in the Amended and Restated Bylaws designate the federal district courts of the United States as the sole and exclusive forum for the resolution of any complaint asserting a cause of action arising under the Securities Act against any person in connection with any offering of our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we would expect to vigorously assert the validity and enforceability of the exclusive forum provisions of the Amended and Restated Bylaws. However, there can be no assurance that the provisions will be enforced by a court in those other jurisdictions. If a court were to find the exclusive forum provision contained in the Amended and Restated Bylaws to be inapplicable or unenforceable in an action, we may incur additional costs associated with resolving such action in other jurisdictions, which could harm our business,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involves the collection, storage, transmission, and other processing of confidential and sensitive data, including information about our guests and employees, and our operations depend on various information technology systems, communications networks, and technology applications, including those of third parties, such as software-as-a-service providers. Accordingly, we face cybersecurity threats on an ongoing basis. As of the date of this report, we are not aware of any cybersecurity threats that have materially affected or are reasonably likely to materially affect us, including our business strategy, results of operations, financial condition, and cash flows. For additional information regarding risks from cybersecurity threats, please refer to Item 1A. Risk Factors in this Annual Report on Form 10-K.</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implemented, and continue to develop, various information security processes and measures designed to identify, assess, and manage material risks from cybersecurity threats. Depending on the context, our technical and operational measures include vulnerability and risk assessments, network security and access controls, encryption of relevant data, systems monitoring, and employee training. Our Information Security team refers to the National Institute of Standards and Technology cybersecurity framework, among other industry reference sources, as a general guide in implementing security measures and addressing cybersecurity risks. On an ongoing basis, our senior management team considers cybersecurity risks among our other important enterprise-wide risks.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work with third parties from time to time to assist us in our cybersecurity efforts, including technology consulting firms and legal advisors, and on a periodic basis, an external vulnerability testing vendor with respect to certain Payment Card Industry Data Security Standard requirements. Depending on the nature of the services provided, the information involved, and the identity of the service provider, our vendor management process may include reviewing the cybersecurity practices of such provider. We also participate in a “bug bounty” program that provides incentives for third-party researchers to identify possible system vulnerabilities.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maintain cybersecurity insurance coverage. Our insurance coverage may not cover or fully insure all cybersecurity-related risks that we face, as described in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Board has ultimate oversight responsibility for the Company’s strategy and risk management, including material risks related to cybersecurity threats. The Board administers its risk oversight function directly and through the Audit Committee.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executive officers are responsible for the day-to-day management of the material risks we face, including cybersecurity risks. Among other things, management is responsible for hiring appropriate personnel, designing and implementing cybersecurity-related processes, communicating priorities to relevant personnel, and assessing cybersecurity incidents as they arise.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Among members of our senior management, cybersecurity matters are overseen by our Vice President, Technical Product Management, who reports to our Chief Executive Officer and has more than two decades of experience in product leadership, engineering, and information technology. Our Senior Director, Information Technology Compliance and Information Security (“Head of Information Security”) reports to our Vice President, Technical Product Manager, and leads our cybersecurity risk assessment, management, and response processes, including their implementation and maintenance. Before joining Sonder in January 2022, our Head of Information Security had approximately 18 years of additional experience as an information security officer and security consultant. He holds CISSP, CISM, and CDPSE certifications.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cybersecurity incident response and vulnerability management processes are designed to escalate cybersecurity incidents to members of management, and if applicable, to our Board, depending on the circumstances. Our Head of Information Security also has monthly program updates with our Vice President, Technical Product Manager and other technology team members to discuss cybersecurity and other technology related initiatives, progress and status. Additional discussions and updates occur in preparation for quarterly Board meetings and on an ad hoc basis.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Board receives quarterly reports from management, concerning significant cybersecurity risks, assessments, and related matters. Management also updates our Audit Committee concerning cybersecurity matters from time to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substantial percentage of Sonder’s corporate staff, including senior management, works remotely. Sonder leases or licenses office space for corporate and administrative purposes at various locations from time to time, none of which is material to its operations.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Sonder’s principal warehouse for furniture distribution in the United States and Canada is in Fort Worth, Texas at a facility owned by a third-party, where Sonder was utilizing approximately 170,000 square feet of storage space as of December 31, 2024, under a contract that expires on December 31, 2026 unless terminated earlier pursuant to its terms. Sonder also leases smaller warehouse and storage spaces to support various cities’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 believes that its existing facilities are adequate for its near-term needs, and that suitable alternative space would be available if required in the future on commercially reasonable terms.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regarding legal proceedings in Note 13 “Commitments and Contingencies” to our consolidated financial statements included in Part II Item 8. “Financial Statements and Supplementary Data.” of this Annual Report on Form 10-K is hereby incorporated by reference into this Part I Item 3. “Legal Proceedings.”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Holders of Common Stock, and Dividends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common stock and Public Warrants are traded on the Nasdaq Global Select Market under the symbols “SOND” and “SONDW,” respectively. On July 7, 2025, there were 135 holders of record of our Common Stock and one holder of record of our Public Warrants. Such numbers do not include beneficial owners holding our securities through nominees.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intend to declare or pay any cash dividends in the foreseeable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“Part III, Item 12. Security Ownership of Certain Beneficial Owners and Management and Related Stockholder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Unregistered Sales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the financial condition and results of operations of Sonder Holdings Inc. (“Sonder,” “we,” “us,” or “our”) should be read together with Sonder’s audited consolidated financial statements and related notes included elsewhere in this Annual Report on Form 10-K.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in this Annual Report on Form 10-K. Sonder’s historical results are not necessarily indicative of the results that may be expected for any period in the future. Except as otherwise noted, all references to 2024 refer to the year ended December 31, 2024, and references to 2023 refer to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41 cities, spanning nine countries and three continents. The Sonder app gives guests control over their stay. Complete with self-service features, simple check-in and 24/7 on-the-ground support, Sonder’s amenities and services at Sonder are just a tap away, making a world of better stays open to all. In August 2024, we announced a strategic licensing agreement with Marriott and completed the full integration with Marriott’s digital channels and platform in the second quarter of 2025. As of December 31, 2024, we had approximately 9,900 units available for guests to book at 195 properties.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Sonder’s Business Model</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work directly with real estate owners to lease properties that meet our standards and furnish and decorate the properties to provide a design-led, technology-enabled experience, and then make them available for guests to book through direct channels (i.e., the Sonder app, our website, or our sales personnel) or through indirect channels, such as Airbnb, Expedia, Booking.com, and other OTAs.</w:t>
      </w: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design-focused accommodations come in a variety of shapes and sizes to accommodate our guests – from a multiple-bedroom apartment with a fully-equipped kitchen and private laundry facilities, to a hotel room or suite. Our diverse product portfolio serves various traveler types, including leisure travelers, families, digital nomads, and business travelers. We manage our properties using proprietary and third-party technologies and deliver services to guests via the Sonder app and 24/7 on-the-ground support.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currently lease all of our properties. In many of our leases, we have negotiated an upfront allowance paid by the real estate owner to help offset the capital invested to prepare and furnish a building and the individual units.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August 2024, we entered into the Marriott Agreement. We completed the full Marriott integration in the second quarter of 2025. As of June 2025, all Sonder properties are available for booking on Marriott’s digital channels, including Marriott.com and the Marriott Bonvoy® mobile app under the new “Sonder by Marriott Bonvoy” collection, and are expected to benefit from access to Marriott’s global sales organization and third-party agreements. Our properties will also continue participating in the Marriott Bonvoy® travel platform, which began in October 2024 after the first phase of integration was complete.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following summary of certain events and developments subsequent to December 31, 2024 should be read in conjunction with the additional information contained elsewhere in this report, including the information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to the consolidated financial statements included in this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Securities Purchase Agreements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11, 2025, we entered into Securities Purchase Agreements (the “April 2025 Securities Purchase Agreements”) whereby we issued and sold an aggregate of 17.98 million shares (the “Preferred Shares”) of Preferred Stock, at a purchase price of $1.00 per share, resulting in aggregate gross proceeds to the Company of $17.98 million (the “April 2025 Preferred Financing”). The terms of the Preferred Shares are identical to the outstanding shares of Series A Preferred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Consent, Waiver and Sixth Amendment to Note and Warrant Purchase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11, 2025, we entered into the Waiver, Consent and Sixth Amendment (the “NPA Amendment”), which modifies the Note Purchase Agreement. Among other things, the NPA Amendment provides for (a) certain waivers in connection with the consummation of the transactions contemplated by the April 2025 Securities Purchase Agreements, (b) the cancellation of an amount equal to 15% of the sum of the aggregate principal amount of the Notes (as defined in the Note Purchase Agreement) and accrued but unpaid interest on the Notes as of the amendment date, (c) a reduction in the interest rate applicable to the Notes, (d) an extension of the option to pay interest in kind and (e) amendments to certain covenants under the Note Purchase Agreement.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Company’s entrance into the NPA Amendment, the Company issued warrants to the investors to purchase an aggregate of up to 5 million shares of common Stock at $1.00 per share (collectively, the “NPA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Consent, Waiver and Sixth Amendment to 2022 Loan and Security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11, 2025, we entered into the Consent, Waiver and Sixth Amendment (the “SVB Amendment”), which modifies that certain Loan and Security Agreement, dated as of December 21, 2022 (the “2022 Loan and Security Agreement”). Among other things, the SVB Amendment provides for (a) certain waivers in connection with the consummation of the transactions contemplated by the April 2025 Securities Purchase Agreements, (b) the reduction of the revolving line of credit from $60.0 million to $35.0 million and the reduction of the letter of credit sublimit from $45.0 million to $35.0 million, and (c) amendments to certain of the covenants under the 2022 Loan and Security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Marriott License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11, 2025, the Company received the remaining $7.5 million, completing the $15.0 million investment under the Marriott Agreement (the “Key Money”).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Lawsuit Settlements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24, 2024, the Company favorably settled two lawsuits related to certain property leases for a total of $7.5 million payable in three tranches. The Company received the first tranche of $2.5 million in July 2024, the second tranche of $2.3 million in November 2024, and the third tranche of $2.7 million in January 2025. The Company recognized the settlement income when it was realized and earned accordingly in the periods of payment receipt.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Discussion Regarding Opportunities, Challenges, and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 Positive Plan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primary focus is to put the business on a solid path to achieving sustainable positive Adjusted FCF as soon as possible (the “Cash Flow Positive Plan”). Adjusted FCF is a non-GAAP measure. The most directly comparable GAAP measure is cash used in operating activities, which was $(129.2) million for the year ended December 31, 2024 compared to $(110.9) million for the year ended December 31, 2023. We have continued to make progress toward this goal as our Adjusted FCF of $(89.5) million for the year ended December 31, 2024 was a $30.1 million improvement compared to Adjusted FCF of $(119.6) million for the year ended December 31, 2023.</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our efforts to reach positive Adjusted FCF, we implemented a portfolio optimization program in November 2023 to mitigate losses related to certain underperforming properties and to assess our portfolio of rents relative to current operations and existing market rents. As of December 31, 2024, we have signed agreements to exit or reduce rent at approximately 110 buildings, or 4,500 units, as part of our portfolio optimization program. Of the approximately 85 buildings, or 3,300 units, with finalized exit agreements, we had exited approximately 80 buildings, or 3,200 units, as of December 31, 2024. As of June 30, 2025, all 85 buildings, or 3,300 units with finalized exit agreements were exited.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we anticipate that the Marriott Agreement will deliver significant revenue opportunities and operating efficiencies for Sonder. Following full integration with Marriott’s extensive global sales and marketing capabilities, as well as with Marriott’s loyalty platform and distribution and booking channels, we expect these sources of new and improved demand to drive substantial uplift in RevPAR over time. We also expect to realize substantial customer acquisition cost savings through improved distribution channel mix and preferred distribution channel rates. In April 2025, we announced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that we are implementing cost reduction initiatives which, when complete, are expected to deliver approximately $50 million of annualized cost savings compared to the third quarter of 2024. The savings are anticipated to come from a combination of headcount reductions, software savings, and other efficiencies in conjunction with the Marriott integration.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reach our Adjusted FCF goal is subject to certain risks, including potential changes in travel demand due to macroeconomic factors or other developments affecting our industry, uncertainties associated with the timing and scope of new property openings, uncertainties associated with the portfolio optimization program described above, our ability to achieve other intended cost reductions and efficiencies, our strategic licensing agreement with Marriott, and the other risks and uncertainties described in this Annual Report on Form 10-K including under Part I, Item 1A, “Risk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Growth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key driver of our revenue growth is our ability to convert Contracted Units into Live Units and, to a lesser extent, to continue signing properties with favorable terms. Certain signed leases have contingencies or conditions that we or the landlord must satisfy before we lease the units, and from time to time, we exclude some of these leases from our Contracted Units total based on our judgment about the likelihood that the contingencies or conditions will be satisfied.</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part of our Cash Flow Positive Plan, we slowed our planned pace of new unit signings to focus on growth primarily through the conversion of our Contracted Units into Live Units. Additionally, we implemented a portfolio optimization program to mitigate losses related to certain underperforming properties in November 2023, which has resulted in exiting certain Live Units during 2024. We have also defaulted or expect to default on certain lease agreements due to the non-payment of rent. While we intend to cure any current or future defaults to avoid loss of profitable properties, material monetary damages and future litigation, liquidity constraints may prevent us from doing so. During the year ended December 31, 2024, Live Units grew on a gross basis due to the conversion of Contracted Units into Live Units. However, this growth was offset by the exit of certain units as part of the portfolio optimization program. As such, Live Units decreased 19% from December 31, 2023 to approximately 9,900 units as of December 31, 2024.</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focused on targeting 100% capital light deals (as defined in the section entitled “Non-GAAP Financial Measures” below) for incremental unit signings. While we continue to sign capital light properties, development cost uncertainty and augmented risk around financing and landlord sentiment surrounding our stock price performance began to slow the pace of signings starting in the second half of 2022. These factors were more acute in 2023 and 2024, resulting in fewer units signed in these periods than in prior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Ability to Attract and Retain Guests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OTAs, such as Airbnb, Expedia, and Booking.com.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was 45.8% for the year ended December 31, 2024. Additionally, we continue to focus on expanding our corporate sales business.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a lesser extent, we also sourced demand from the Marriott Bonvoy® travel platform during the year ended December 31, 2024. During the period from October 2024 through the completion of the full Marriott integration, Marriott Bonvoy members have early access to earn and redeem Marriott Bonvoy points when booking directly on Sonder.com, and Sonder properties are featured on Marriott.com with links to Sonder.com for booking. Revenue earned through this method is captured in the direct total revenue reported above.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completed the full Marriott integration in the second quarter of 2025. As of June 2025, all Sonder properties are available for booking on Marriott’s digital channels, including Marriott.com and the Marriott Bonvoy® mobile app under the new “Sonder by Marriott Bonvoy” collection. The Marriott Agreement provides us with access to Marriott’s global sales organization and third-party agreements. Our properties will also continue participating in the Marriott Bonvoy® travel platform.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Technology is essential to our guest experience, as it leads guests through their entire Sonder stay, from booking through check-out. Technology also underpins our hospitality operations, including demand generation, revenue management, day-to-day operations, and more. By leveraging technology, our goal is to reduce operating costs and provide a better guest experience at a compelling value.</w:t>
      </w:r>
    </w:p>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full Marriott integration, which was completed in the second quarter of 2025, is expected to complement Sonder's existing technology. We have invested, and will continue to invest, in our technology infrastructure and in integrating our properties and systems into Marriott's platform and systems.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2023, we completed a reduction in force with $2.1 million in associated one-time restructuring costs, all of which were paid out in the year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February 2024, we completed a reduction in force with approximately $3.0 million in associated one-time restructuring costs, all of which were paid out in the year ended December 31, 2024.</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2025, we completed a reduction in force with approximately $2.8 million in associated one-time restructuring costs, all of which are expected to be paid out in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provides the key metrics (rounded):</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03"/>
        </w:trPr>
        <w:tc>
          <w:tcPr>
            <w:tcW w:w="3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spacing w:after="0"/>
              <w:rPr>
                <w:sz w:val="24"/>
                <w:szCs w:val="24"/>
                <w:color w:val="auto"/>
              </w:rPr>
            </w:pPr>
          </w:p>
        </w:tc>
      </w:tr>
      <w:tr>
        <w:trPr>
          <w:trHeight w:val="32"/>
        </w:trPr>
        <w:tc>
          <w:tcPr>
            <w:tcW w:w="3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3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No.</w:t>
            </w:r>
          </w:p>
        </w:tc>
        <w:tc>
          <w:tcPr>
            <w:tcW w:w="126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Live Units (End of Period)</w:t>
            </w:r>
          </w:p>
        </w:tc>
        <w:tc>
          <w:tcPr>
            <w:tcW w:w="10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9,900</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12,200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Bookable Nights</w:t>
            </w:r>
          </w:p>
        </w:tc>
        <w:tc>
          <w:tcPr>
            <w:tcW w:w="102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6"/>
              </w:rPr>
              <w:t>3,911,000</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3,995,000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(84,000)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2"/>
        </w:trPr>
        <w:tc>
          <w:tcPr>
            <w:tcW w:w="3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Occupied Nights</w:t>
            </w:r>
          </w:p>
        </w:tc>
        <w:tc>
          <w:tcPr>
            <w:tcW w:w="10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96"/>
              </w:rPr>
              <w:t>3,165,000</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3,273,000</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(108,000)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Portfolio</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9"/>
                <w:szCs w:val="19"/>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10,700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03"/>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RevPAR</w:t>
            </w: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191"/>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ADR</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7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32"/>
        </w:trPr>
        <w:tc>
          <w:tcPr>
            <w:tcW w:w="3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 Rate</w:t>
            </w:r>
          </w:p>
        </w:tc>
        <w:tc>
          <w:tcPr>
            <w:tcW w:w="10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2"/>
        </w:trPr>
        <w:tc>
          <w:tcPr>
            <w:tcW w:w="3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40" w:hanging="235"/>
        <w:spacing w:after="0"/>
        <w:tabs>
          <w:tab w:leader="none" w:pos="24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Portfolio consists of Live Units and Contracted Units at the end of the period noted.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Live Units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Live Units generate Bookable Nights (as defined below) which generate revenue. Live Units are a key driver of revenue, and a key measure of the scale of our business, which in turn drives our financial performance.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Live Units that were exited (i.e. no longer available for guest stays) during that same period. Sonder exits Live Units from time to time for a variety of reasons, including to mitigate losses related to certain underperforming properties, such as in connection with the portfolio optimization program.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2024, Live Units grew on a gross basis due to the conversion of Contracted Units into Live Units. However, this growth was offset by the exit of certain units as part of the portfolio optimization program. As such, Live Units decreased 19% from December 31, 2023 to December 31, 2024 to approximately 9,900 units. As of December 31, 2024, our five largest cities (New York City, Dubai, Montreal, Miami, and London) accounted for approximately 37% of our Live Units, and our 10 largest cities accounted for approximately 60% of our Live Units. As of December 31, 2023, our five largest cities (New York City, Mexico City, Dubai, Los Angeles, and Philadelphia) accounted for approximately 35% of our Live Units, and our 10 largest cities accounted for approximately 57% of our Live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Bookable Nights / Occupied Nights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Occupied Nights, and OR are key drivers of revenue, which in turn drives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Bookable Nights and Occupied Nights year-over-year was driven by the portfolio optimization program and the resulting year-over-year decrease in Live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RevPAR and Average Daily Rate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RevPAR represents the average revenue earned per available room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Several factors may explain period-to-period RevPAR variances, including:</w:t>
      </w:r>
    </w:p>
    <w:p>
      <w:pPr>
        <w:spacing w:after="0" w:line="200" w:lineRule="exact"/>
        <w:rPr>
          <w:sz w:val="20"/>
          <w:szCs w:val="20"/>
          <w:color w:val="auto"/>
        </w:rPr>
      </w:pPr>
    </w:p>
    <w:p>
      <w:pPr>
        <w:ind w:left="520" w:hanging="260"/>
        <w:spacing w:after="0" w:line="26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Live Units that became live in recent months and have not yet reached mature economics. Typically, new Live Units take twelve months to achieve mature ADR and OR as buildings stabilize and drive organic bookings. If a period has a significant increase in Live Units, this may adversely impact total RevPAR.</w:t>
      </w:r>
    </w:p>
    <w:p>
      <w:pPr>
        <w:ind w:left="520" w:hanging="260"/>
        <w:spacing w:after="0" w:line="25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total RevPAR.</w:t>
      </w:r>
    </w:p>
    <w:p>
      <w:pPr>
        <w:jc w:val="both"/>
        <w:ind w:left="520" w:hanging="260"/>
        <w:spacing w:after="0" w:line="25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mix represents the composition of our portfolio between apartment and hotel style units. In general, apartment style units typically earn higher RevPARs because they typically offer more amenities (e.g., kitchen, in-unit washer/dryer) and have higher square footage compared to hotel style units. Therefore, if the product mix shifts towards hotel style units, it may reduce the average portfolio-wide RevPAR.</w:t>
      </w:r>
    </w:p>
    <w:p>
      <w:pPr>
        <w:jc w:val="both"/>
        <w:ind w:left="520" w:hanging="260"/>
        <w:spacing w:after="0" w:line="259"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drives typical period-to-period variances in a particular property’s RevPAR depending upon seasonal factors (e.g., weather patterns, local attractions and events, holidays) as well as property location and type. Total RevPAR tends to be lower in the first quarter and fourth quarter of each year due to seasonal factors such as weather and holidays and the market mix and product mix of our live properties at the time. However, the effect of seasonality could vary as our market mix and product mix continues to evolve.</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increases in RevPAR for the year ended December 31, 2024 compared to the year ended December 31, 2023 were primarily driven by the impact of the portfolio optimization program and broader travel industry trends.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 Ended December 31, 2024 Compared to Year Ended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results of operations as a percentage of revenue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621,272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1"/>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377,243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392,898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Operations and support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212,913</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0" w:type="dxa"/>
            <w:vAlign w:val="bottom"/>
          </w:tcPr>
          <w:p>
            <w:pPr>
              <w:spacing w:after="0"/>
              <w:rPr>
                <w:sz w:val="1"/>
                <w:szCs w:val="1"/>
                <w:color w:val="auto"/>
              </w:rPr>
            </w:pPr>
          </w:p>
        </w:tc>
      </w:tr>
      <w:tr>
        <w:trPr>
          <w:trHeight w:val="191"/>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112,082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91"/>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84,248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78,566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losses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217"/>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Integration costs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87"/>
        </w:trPr>
        <w:tc>
          <w:tcPr>
            <w:tcW w:w="5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803,889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880,108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146.2 %</w:t>
            </w:r>
          </w:p>
        </w:tc>
        <w:tc>
          <w:tcPr>
            <w:tcW w:w="0" w:type="dxa"/>
            <w:vAlign w:val="bottom"/>
          </w:tcPr>
          <w:p>
            <w:pPr>
              <w:spacing w:after="0"/>
              <w:rPr>
                <w:sz w:val="1"/>
                <w:szCs w:val="1"/>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(182,617)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(278,042)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91"/>
        </w:trPr>
        <w:tc>
          <w:tcPr>
            <w:tcW w:w="5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non-operating expense, net</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(226,093)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(296,601)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9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32"/>
        </w:trPr>
        <w:tc>
          <w:tcPr>
            <w:tcW w:w="5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(224,087)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(295,668)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(221,703)</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(303,718)</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generates revenues primarily by providing accommodations to its guests. Direct revenue is generated from stays booked through Sonder.com, the Sonder app, or directly with our sales personnel, while indirect revenue is generated from stays booked through OTAs.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revenue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48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0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621,272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602,066</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2"/>
        </w:trPr>
        <w:tc>
          <w:tcPr>
            <w:tcW w:w="50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increased, primarily due to a 5.3% increase in RevPAR partially offset by a 2.1% decrease in Bookable Nights. The increase in RevPAR was primarily driven by the portfolio optimization program and broader travel industry trends. The decrease in Bookable Nights is the result of Live Units exited from the portfolio optimization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Costs and 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costs and operating expenses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26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color w:val="auto"/>
              </w:rPr>
              <w:t>Year ended December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Change</w:t>
            </w:r>
          </w:p>
        </w:tc>
        <w:tc>
          <w:tcPr>
            <w:tcW w:w="1020" w:type="dxa"/>
            <w:vAlign w:val="bottom"/>
          </w:tcPr>
          <w:p>
            <w:pPr>
              <w:spacing w:after="0"/>
              <w:rPr>
                <w:sz w:val="16"/>
                <w:szCs w:val="16"/>
                <w:color w:val="auto"/>
              </w:rPr>
            </w:pPr>
          </w:p>
        </w:tc>
      </w:tr>
      <w:tr>
        <w:trPr>
          <w:trHeight w:val="22"/>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5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377,243</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392,898</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184,343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212,913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2"/>
        </w:trPr>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123,390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112,082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r>
      <w:tr>
        <w:trPr>
          <w:trHeight w:val="20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2"/>
        </w:trPr>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84,248</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78,566</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r>
      <w:tr>
        <w:trPr>
          <w:trHeight w:val="217"/>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22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1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84.7 %</w:t>
            </w:r>
          </w:p>
        </w:tc>
      </w:tr>
      <w:tr>
        <w:trPr>
          <w:trHeight w:val="238"/>
        </w:trPr>
        <w:tc>
          <w:tcPr>
            <w:tcW w:w="5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803,889</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880,108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Cost of Revenue (excluding depreciation and amortization)</w:t>
      </w:r>
      <w:r>
        <w:rPr>
          <w:rFonts w:ascii="Times New Roman" w:cs="Times New Roman" w:eastAsia="Times New Roman" w:hAnsi="Times New Roman"/>
          <w:sz w:val="14"/>
          <w:szCs w:val="14"/>
          <w:color w:val="auto"/>
        </w:rPr>
        <w:t>: Cost of revenue expenses primarily consists of lease costs to real estate owners for our Live Units, cleaning costs, and payment processing charges. We expect our cost of revenue will continue to fluctuate on an absolute dollar basis for the foreseeable future, in line with the change in Bookable Nights in connection with the portfolio optimization program. Cost of revenue may vary as a percentage of revenue from period-to-period based on the timing and seasonality of bookings. Additionally, our cost of revenue does not necessarily increase at a rate commensurate with the increase in revenue, given that drivers of increases in revenue, such as increases in ADR, do not necessarily require additional costs.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decreased, primarily due to: a $19.0 million decrease in rent expense due to the decrease in Live Units driven by the portfolio optimization program, partially offset by (a) a $2.2 million increase in cleaning expenses as a result of an increase in the number of checkouts due to shorter stays, and (b) a $1.3 million increase in other cost of revenue expenses.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Operations and support</w:t>
      </w:r>
      <w:r>
        <w:rPr>
          <w:rFonts w:ascii="Times New Roman" w:cs="Times New Roman" w:eastAsia="Times New Roman" w:hAnsi="Times New Roman"/>
          <w:sz w:val="14"/>
          <w:szCs w:val="14"/>
          <w:color w:val="auto"/>
        </w:rPr>
        <w:t>: Operations and support expenses are related to guest-facing functions and variable expenses associated with property-level operations, such as customer service and hospitality, depreciation of property and equipment, utilities, costs to open new properties, and the cost of guest-room consumable items and low-cost furnishings.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Operations and support decreased, primarily due to: (i) a $13.3 million decrease in unit-related expenses mostly related to smaller non-capitalized items for our units such as bedding, decor, furniture, and lighting, driven mainly by the decrease in Live Units, (ii) an $8.6 million decrease in employee compensation cost due to a decrease in average headcount, (iii) a $2.0 million decrease in legal and professional fees, (iv) a $3.6 million decrease in location acquisition costs due to the timing of costs related to onboarding new units, and (v) a $2.4 million decrease in depreciation expense, partially offset by the cumulative impact of other less significant expense increases.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General and administrative</w:t>
      </w:r>
      <w:r>
        <w:rPr>
          <w:rFonts w:ascii="Times New Roman" w:cs="Times New Roman" w:eastAsia="Times New Roman" w:hAnsi="Times New Roman"/>
          <w:sz w:val="14"/>
          <w:szCs w:val="14"/>
          <w:color w:val="auto"/>
        </w:rPr>
        <w:t>: General and administrative expenses primarily consist of personnel-related expenses for administrative functions, such as legal, finance, accounting, public policy, and human resources. It also includes certain professional services fees, technology expenses, bad debt expense, general corporate and director and officer insurance, and other corporate-level expenses we incur to manage and support our operations. We expect to continue to incur certain general and administrative costs as a result of operating as a public company, including expenses to comply with the rules and regulations of the SEC and Nasdaq, as well as expenses for corporate insurance, director and officer insurance, investor relations, and professional services.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General and administrative increased, primarily due to: (i) a $27.0 million increase in legal and professional expenses related to corporate matters, which includes legal and professional fees associated with the formation of the strategic licensing agreement with Marriott and financing deals, all announced in August 2024, (ii) a $13.0 million increase in taxes primarily related to value added taxes, (iii) a $8.1 million increase in bad debt expense due to additional reserves on corporate and group bookings. General and administrative expenses were partially offset by (iv) a $27.8 million decrease in employee compensation cost due to a decrease in average headcount, (v) a $3.4 million decrease in insurance facilities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expense related to a reduction on office space, and (vi) additional less significant decreases in facilities, depreciation, and other.</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Research and development</w:t>
      </w:r>
      <w:r>
        <w:rPr>
          <w:rFonts w:ascii="Times New Roman" w:cs="Times New Roman" w:eastAsia="Times New Roman" w:hAnsi="Times New Roman"/>
          <w:sz w:val="14"/>
          <w:szCs w:val="14"/>
          <w:color w:val="auto"/>
        </w:rPr>
        <w:t>: Research and development expenses primarily consist of personnel-related expenses and an allocation of our facility expenses incurred in connection with the development of our existing and new services. Our research and development efforts are focused primarily on increasing the functionality and enhancing the ease of use of existing services, and on integrating our properties and systems into Marriott’s platform and systems. We capitalize the portion of our software development costs that meets the criteria for capitalization.</w:t>
      </w:r>
    </w:p>
    <w:p>
      <w:pPr>
        <w:spacing w:after="0" w:line="157"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4"/>
          <w:szCs w:val="14"/>
          <w:color w:val="auto"/>
        </w:rPr>
        <w:t>Research and development decreased, primarily due to: (i) a net $2.8 million decrease in employee compensation driven by a decrease in average headcount, (ii) a $1.6 million decrease in depreciation, primarily due to a decrease in capitalized software costs, (iii) a $0.9 million decrease in computer software expense, and (iv) a $0.4 million decrease in legal and professional fees.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u w:val="single" w:color="auto"/>
          <w:color w:val="auto"/>
        </w:rPr>
        <w:t>Sales and marketing</w:t>
      </w:r>
      <w:r>
        <w:rPr>
          <w:rFonts w:ascii="Times New Roman" w:cs="Times New Roman" w:eastAsia="Times New Roman" w:hAnsi="Times New Roman"/>
          <w:sz w:val="14"/>
          <w:szCs w:val="14"/>
          <w:color w:val="auto"/>
        </w:rPr>
        <w:t>: Sales and marketing expenses primarily consist of service charges for bookings made through OTAs, personnel-related expenses for sales, marketing, advertising costs, and branding.</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and marketing increased, primarily due to (i) a $3.6 million increase in performance marketing expense, (ii) a $1.5 million increase in channel transaction fees resulting from an increase in revenue booked through OTAs, consistent with total revenue growth, and (iii) a $1.5 million increase in employee compensation due to growth in our corporate sales team.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Impairment losses</w:t>
      </w:r>
      <w:r>
        <w:rPr>
          <w:rFonts w:ascii="Times New Roman" w:cs="Times New Roman" w:eastAsia="Times New Roman" w:hAnsi="Times New Roman"/>
          <w:sz w:val="14"/>
          <w:szCs w:val="14"/>
          <w:color w:val="auto"/>
        </w:rPr>
        <w:t>: Impairment loss charges include impairment of long-lived assets.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Impairment losses decreased, primarily due to improved valuation variables related to the valuation of our operating lease ROU assets, that triggered an impairment charge recognized by the Company in the corresponding prior period.</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Integration costs</w:t>
      </w:r>
      <w:r>
        <w:rPr>
          <w:rFonts w:ascii="Times New Roman" w:cs="Times New Roman" w:eastAsia="Times New Roman" w:hAnsi="Times New Roman"/>
          <w:sz w:val="14"/>
          <w:szCs w:val="14"/>
          <w:color w:val="auto"/>
        </w:rPr>
        <w:t>: For the year ended December 31, 2024, the integration costs consisted of costs associated with the Marriott Agreement as they pertain to integration related items, such as legal fees and other organizational related costs. For the year ended December 31, 2023, there were no associated integration costs.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Restructuring and other charges</w:t>
      </w:r>
      <w:r>
        <w:rPr>
          <w:rFonts w:ascii="Times New Roman" w:cs="Times New Roman" w:eastAsia="Times New Roman" w:hAnsi="Times New Roman"/>
          <w:sz w:val="14"/>
          <w:szCs w:val="14"/>
          <w:color w:val="auto"/>
        </w:rPr>
        <w:t>: For the year ended December 31, 2024, the restructuring and other charges consisted of employee termination benefits as a result of a restructuring announced on February 20, 2024. For the year ended December 31, 2023, restructuring and other charges consisted primarily of employee termination benefits as a result of the restructuring announced on March 1, 2023. The entirety of the increase in restructuring and other charges was due to the difference in amounts recognized for each of the restructurings discussed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Non-Operating Expense, Net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non-operating expense, net consists primarily of lease adjustment (gains), net, loss on preferred stock issuance, the change in fair value of forward contract, Earn Out Liability, SPAC Warrants, and other instruments carried at fair value, realized and unrealized gains and losses on foreign currency transactions and balances, and interest expense related to the term loans and convertible debt.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total non-operating expense, net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46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color w:val="auto"/>
              </w:rPr>
              <w:t>Year ended 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0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34,213</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34.6 %</w:t>
            </w:r>
          </w:p>
        </w:tc>
      </w:tr>
      <w:tr>
        <w:trPr>
          <w:trHeight w:val="20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SPAC Warrants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r>
      <w:tr>
        <w:trPr>
          <w:trHeight w:val="22"/>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Earn Out Liability</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r>
      <w:tr>
        <w:trPr>
          <w:trHeight w:val="20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(93,175)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818.4 %</w:t>
            </w:r>
          </w:p>
        </w:tc>
      </w:tr>
      <w:tr>
        <w:trPr>
          <w:trHeight w:val="22"/>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83,812</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1"/>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w:t>
            </w:r>
          </w:p>
        </w:tc>
      </w:tr>
      <w:tr>
        <w:trPr>
          <w:trHeight w:val="203"/>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non-operating expense, net</w:t>
            </w: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43,476</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24,917</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134.3 %</w:t>
            </w: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expense, net</w:t>
      </w:r>
      <w:r>
        <w:rPr>
          <w:rFonts w:ascii="Times New Roman" w:cs="Times New Roman" w:eastAsia="Times New Roman" w:hAnsi="Times New Roman"/>
          <w:sz w:val="14"/>
          <w:szCs w:val="14"/>
          <w:color w:val="auto"/>
        </w:rPr>
        <w:t>: Interest expense, net increased primarily due to interest expense recognized on the Company’s Delayed Draw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 in fair value of SPAC Warrants</w:t>
      </w:r>
      <w:r>
        <w:rPr>
          <w:rFonts w:ascii="Times New Roman" w:cs="Times New Roman" w:eastAsia="Times New Roman" w:hAnsi="Times New Roman"/>
          <w:sz w:val="14"/>
          <w:szCs w:val="14"/>
          <w:color w:val="auto"/>
        </w:rPr>
        <w:t>. The change in the fair value of this line item resulted primarily from a decrease in our stock price period-over-period.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Change in fair value of Earn Out Liability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change in the fair value of this line item resulted from a decrease in our stock price period-over-period.</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Lease adjustment gains, net</w:t>
      </w:r>
      <w:r>
        <w:rPr>
          <w:rFonts w:ascii="Times New Roman" w:cs="Times New Roman" w:eastAsia="Times New Roman" w:hAnsi="Times New Roman"/>
          <w:sz w:val="14"/>
          <w:szCs w:val="14"/>
          <w:color w:val="auto"/>
        </w:rPr>
        <w:t>. The lease adjustment gains, net is due to the residual impact of lease terminations. The Company undertook the portfolio optimization program to renegotiate or exit certain properties with unfavorable lease terms.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u w:val="single" w:color="auto"/>
          <w:color w:val="auto"/>
        </w:rPr>
        <w:t>Loss on preferred stock issuance</w:t>
      </w:r>
      <w:r>
        <w:rPr>
          <w:rFonts w:ascii="Times New Roman" w:cs="Times New Roman" w:eastAsia="Times New Roman" w:hAnsi="Times New Roman"/>
          <w:sz w:val="14"/>
          <w:szCs w:val="14"/>
          <w:color w:val="auto"/>
        </w:rPr>
        <w:t>. The loss on preferred stock issuance of $83.8 million was recorded for the year ended December 31, 2024, attributable to the Securities Purchase Agreements (the “August 2024 Security Purchase Agreements”) entered into by the Company on August 13, 2024, (the “August 2024 Preferred Financing”). The transaction provided for 43.3 million newly issued shares of Series A Preferred Stock, in exchange for cash consideration in an aggregate amount of approximately $43.3 million. The shares were valued in excess of the proceeds received as part of the transaction. The Company identified the following two freestanding financial instruments issued in connection with the transaction; (a) Mezzanine equity-classified Series A Preferred Stock and (b) Liability-classified forward contract for commitments of investors to purchase, and commitments of the Company to sell additional Series A Preferred Stock. As of the transaction inception, these instruments had an aggregate fair value of $98.5 million and the Company received $14.7 million from the first tranche closing, resulting in the $83.8 million loss on preferred stock issuance. The loss on preferred stock issuance for the year ended December 31, 2024 consists of $82.5 million related to the two freestanding financial instruments discussed above, as well as $1.3 million associated with the recognition of the Preferred Stock Participation Rights, as discussed below. No similar loss was recognized during the year ended December 31, 2023, as no issuance of this nature occurred.</w:t>
      </w:r>
    </w:p>
    <w:p>
      <w:pPr>
        <w:spacing w:after="0" w:line="3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August 2024 Securities Purchase Agreements also grant the August 2024 Purchasers (as defined below) the right to purchase up to 25% of any equity offering within the next five years (a “Subsequent Financing”). The August 2024 Purchasers are entitled to participate on a pro-rata basis (determined by their proportionate participation in the August 2024 Preferred Financing) at a purchase price equal to 75% of the purchase price of any other investor in such Subsequent Financing. The Company recognized a liability for this preferred stock participation right of $1.3 million within other current liabilities in the condensed consolidated balance sheets on August 13, 2024. The Company recognized a change in fair value of the participation right of $7 thousand as the remeasurement reflecting fluctuations in the underlying variables and assumptions from inception on August 13, 2024 through the year ended December 31, 2024.</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Change in fair value of forward contracts.</w:t>
      </w:r>
      <w:r>
        <w:rPr>
          <w:rFonts w:ascii="Times New Roman" w:cs="Times New Roman" w:eastAsia="Times New Roman" w:hAnsi="Times New Roman"/>
          <w:sz w:val="14"/>
          <w:szCs w:val="14"/>
          <w:color w:val="auto"/>
        </w:rPr>
        <w:t xml:space="preserve"> As part of the August 2024 Securities Purchase Agreements, the transaction included a Liability-classified forward contract for commitments of investors to purchase, and commitments of the Company to sell additional Series A Preferred Stock. The change in fair value of the forward contract of $28.7 million represents the remeasurement reflecting fluctuations in the underlying variables and assumptions from inception on August 13, 2024 through the year ended December 31, 2024. No similar change in fair value of forward contract was recognized during the year ended December 31, 2023, as no issuance of this nature occurred.</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Other expense (income), net</w:t>
      </w:r>
      <w:r>
        <w:rPr>
          <w:rFonts w:ascii="Times New Roman" w:cs="Times New Roman" w:eastAsia="Times New Roman" w:hAnsi="Times New Roman"/>
          <w:sz w:val="14"/>
          <w:szCs w:val="14"/>
          <w:color w:val="auto"/>
        </w:rPr>
        <w:t>. The change in other expense (income), net is primarily due to the decrease of a 2023 loss contingency, the addition of 2024 other income from lease terminations and fluctuations in foreign currency rates which impacted the remeasurement of foreign balances to reporting currency.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except for Canada, we have recorded a full valuation allowance against our deferred tax assets due to our history of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income taxes in the United States and foreign jurisdictions in which we do business. Foreign jurisdictions have different statutory tax rates than those in the United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certain of our foreign earnings may also be taxable in the United States.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effect of income tax positions only if those positions are more likely than not of being sustained. Recognized income tax positions are measured as the largest amount that is greater than 50% likely of being realized.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Changes in recognition or measurement are reflected in the period in which the change in judgment occurs. We recognize interest and penalties, if any, related to income tax matters as a component of income tax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provision for income taxes (in thousands,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56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Change</w:t>
            </w:r>
          </w:p>
        </w:tc>
        <w:tc>
          <w:tcPr>
            <w:tcW w:w="1100" w:type="dxa"/>
            <w:vAlign w:val="bottom"/>
          </w:tcPr>
          <w:p>
            <w:pPr>
              <w:spacing w:after="0"/>
              <w:rPr>
                <w:sz w:val="16"/>
                <w:szCs w:val="16"/>
                <w:color w:val="auto"/>
              </w:rPr>
            </w:pPr>
          </w:p>
        </w:tc>
      </w:tr>
      <w:tr>
        <w:trPr>
          <w:trHeight w:val="22"/>
        </w:trPr>
        <w:tc>
          <w:tcPr>
            <w:tcW w:w="5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02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115.0 %</w:t>
            </w:r>
          </w:p>
        </w:tc>
      </w:tr>
      <w:tr>
        <w:trPr>
          <w:trHeight w:val="22"/>
        </w:trPr>
        <w:tc>
          <w:tcPr>
            <w:tcW w:w="50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Benefit for income taxes change is primarily due to taxes related to operations in foreign jurisdictions.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operations and comprehensive income (loss), balance sheets, or statements of cash flows.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supplement the consolidated financial statements, which are prepared and presented in accordance with GAAP, we use the following non-GAAP financial measures: Adjusted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Free Cash Flow</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FCF (in thousands):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3"/>
        </w:trPr>
        <w:tc>
          <w:tcPr>
            <w:tcW w:w="7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1100" w:type="dxa"/>
            <w:vAlign w:val="bottom"/>
          </w:tcPr>
          <w:p>
            <w:pPr>
              <w:spacing w:after="0"/>
              <w:rPr>
                <w:sz w:val="24"/>
                <w:szCs w:val="24"/>
                <w:color w:val="auto"/>
              </w:rPr>
            </w:pPr>
          </w:p>
        </w:tc>
      </w:tr>
      <w:tr>
        <w:trPr>
          <w:trHeight w:val="32"/>
        </w:trPr>
        <w:tc>
          <w:tcPr>
            <w:tcW w:w="7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75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(129,222)</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(110,904)</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provided by (used in) investing activities</w:t>
            </w:r>
          </w:p>
        </w:tc>
        <w:tc>
          <w:tcPr>
            <w:tcW w:w="110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5,729</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(12,362)</w:t>
            </w:r>
          </w:p>
        </w:tc>
      </w:tr>
      <w:tr>
        <w:trPr>
          <w:trHeight w:val="32"/>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752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FCF, including cash received from Key Money investment and cash paid for lease terminations, restructuring, and professional</w:t>
            </w:r>
          </w:p>
        </w:tc>
        <w:tc>
          <w:tcPr>
            <w:tcW w:w="1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(123,493)</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(123,266)</w:t>
            </w:r>
          </w:p>
        </w:tc>
      </w:tr>
      <w:tr>
        <w:trPr>
          <w:trHeight w:val="196"/>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fees</w:t>
            </w:r>
          </w:p>
        </w:tc>
        <w:tc>
          <w:tcPr>
            <w:tcW w:w="1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Key Money investment</w:t>
            </w:r>
          </w:p>
        </w:tc>
        <w:tc>
          <w:tcPr>
            <w:tcW w:w="110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lease termination costs</w:t>
            </w:r>
          </w:p>
        </w:tc>
        <w:tc>
          <w:tcPr>
            <w:tcW w:w="1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14,499</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1,343</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restructuring costs</w:t>
            </w:r>
          </w:p>
        </w:tc>
        <w:tc>
          <w:tcPr>
            <w:tcW w:w="110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4,363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2,322</w:t>
            </w:r>
          </w:p>
        </w:tc>
      </w:tr>
      <w:tr>
        <w:trPr>
          <w:trHeight w:val="32"/>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non-recurring professional fees</w:t>
            </w:r>
          </w:p>
        </w:tc>
        <w:tc>
          <w:tcPr>
            <w:tcW w:w="1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22,566</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integration costs</w:t>
            </w:r>
          </w:p>
        </w:tc>
        <w:tc>
          <w:tcPr>
            <w:tcW w:w="110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Adjusted FCF</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(89,513)</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(119,601)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Adjusted FCF as cash used in operating activities plus cash provided by (used in) investing activities, excluding the impact of the Key Money investment, lease terminations, restructuring, and non-recurring professional fee charges related to non-operational activities. The most directly comparable GAAP financial measures are cash used in operating activities when combined with cash provided by (used in) investing activities. Our near-term focus is to reach sustainable positive Adjusted FCF as described in our Cash Flow Positive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Adjusted FCF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Adjusted FCF measure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change in Adjusted FCF period-over-period represented a 25.2% increase, primarily driven by a $19.5 million improvement in cash used in operating activities excluding cash paid for one-time items (lease termination costs, restructuring costs, non-recurring professional fees and integration costs) due to improved property profitability from the portfolio optimization program and other cost savings measures. The increase in Adjusted FCF was also driven by a $10.6 million improvement in cash used in investment activities excluding Key Money, due to lower capital expenditures in line with fewer takeovers during the year ended December 31, 2024 compared to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section entitled “Liquidity and Capital Resources – Cash Flow Information” below for further discussion surrounding the changes in our cash flow figures period-over-period.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Adjusted EBITDA</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61"/>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EBITDA (in thousands):</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3"/>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Year ended December 31,</w:t>
            </w:r>
          </w:p>
        </w:tc>
        <w:tc>
          <w:tcPr>
            <w:tcW w:w="1420" w:type="dxa"/>
            <w:vAlign w:val="bottom"/>
          </w:tcPr>
          <w:p>
            <w:pPr>
              <w:spacing w:after="0"/>
              <w:rPr>
                <w:sz w:val="24"/>
                <w:szCs w:val="24"/>
                <w:color w:val="auto"/>
              </w:rPr>
            </w:pPr>
          </w:p>
        </w:tc>
      </w:tr>
      <w:tr>
        <w:trPr>
          <w:trHeight w:val="32"/>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67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(224,087)</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(295,668)</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34,213</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25,409</w:t>
            </w:r>
          </w:p>
        </w:tc>
      </w:tr>
      <w:tr>
        <w:trPr>
          <w:trHeight w:val="32"/>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1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16,989</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22,147</w:t>
            </w:r>
          </w:p>
        </w:tc>
      </w:tr>
      <w:tr>
        <w:trPr>
          <w:trHeight w:val="32"/>
        </w:trPr>
        <w:tc>
          <w:tcPr>
            <w:tcW w:w="67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3"/>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EBITDA</w:t>
            </w:r>
          </w:p>
        </w:tc>
        <w:tc>
          <w:tcPr>
            <w:tcW w:w="1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(174,891)</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(249,045)</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28,494</w:t>
            </w:r>
          </w:p>
        </w:tc>
      </w:tr>
      <w:tr>
        <w:trPr>
          <w:trHeight w:val="32"/>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1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(93,175)</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59,165</w:t>
            </w:r>
          </w:p>
        </w:tc>
      </w:tr>
      <w:tr>
        <w:trPr>
          <w:trHeight w:val="32"/>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r>
              <w:rPr>
                <w:rFonts w:ascii="Times New Roman" w:cs="Times New Roman" w:eastAsia="Times New Roman" w:hAnsi="Times New Roman"/>
                <w:sz w:val="18"/>
                <w:szCs w:val="18"/>
                <w:color w:val="auto"/>
                <w:vertAlign w:val="superscript"/>
              </w:rPr>
              <w:t>(1)</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other related charges</w:t>
            </w:r>
          </w:p>
        </w:tc>
        <w:tc>
          <w:tcPr>
            <w:tcW w:w="1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Non-recurring professional fees</w:t>
            </w:r>
          </w:p>
        </w:tc>
        <w:tc>
          <w:tcPr>
            <w:tcW w:w="1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0E32E1"/>
              </w:rPr>
              <w:t>—</w:t>
            </w:r>
          </w:p>
        </w:tc>
      </w:tr>
      <w:tr>
        <w:trPr>
          <w:trHeight w:val="32"/>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Integration costs</w:t>
            </w:r>
          </w:p>
        </w:tc>
        <w:tc>
          <w:tcPr>
            <w:tcW w:w="1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420" w:type="dxa"/>
            <w:vAlign w:val="bottom"/>
            <w:tcBorders>
              <w:top w:val="single" w:sz="8" w:color="auto"/>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(105,483)</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(169,412)</w:t>
            </w: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$1.3 million associated with the preferred stock participation right.</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Adjusted EBITDA as net income (loss) as adjusted to eliminate the impact of net interest expense, provision (benefit)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Stock-based Compensation Expense. </w:t>
      </w:r>
      <w:r>
        <w:rPr>
          <w:rFonts w:ascii="Times New Roman" w:cs="Times New Roman" w:eastAsia="Times New Roman" w:hAnsi="Times New Roman"/>
          <w:sz w:val="14"/>
          <w:szCs w:val="14"/>
          <w:color w:val="auto"/>
        </w:rPr>
        <w:t>Non-cash, stock-based compensation expense relates to our equity plan. We exclude such expense when assessing the effectiveness of our operating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since stock-based compensation does not necessarily correlate with the underlying operating performance of the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Lease adjustment gains, net. </w:t>
      </w:r>
      <w:r>
        <w:rPr>
          <w:rFonts w:ascii="Times New Roman" w:cs="Times New Roman" w:eastAsia="Times New Roman" w:hAnsi="Times New Roman"/>
          <w:sz w:val="14"/>
          <w:szCs w:val="14"/>
          <w:color w:val="auto"/>
        </w:rPr>
        <w:t>These net gains reflect the impact of lease terminations and modifications.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loss</w:t>
      </w:r>
      <w:r>
        <w:rPr>
          <w:rFonts w:ascii="Times New Roman" w:cs="Times New Roman" w:eastAsia="Times New Roman" w:hAnsi="Times New Roman"/>
          <w:sz w:val="14"/>
          <w:szCs w:val="14"/>
          <w:color w:val="auto"/>
        </w:rPr>
        <w:t>. Impairment loss includes impairment charges recognized related to the valuation of our operating lease ROU assets.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Loss on preferred stock issuance. </w:t>
      </w:r>
      <w:r>
        <w:rPr>
          <w:rFonts w:ascii="Times New Roman" w:cs="Times New Roman" w:eastAsia="Times New Roman" w:hAnsi="Times New Roman"/>
          <w:sz w:val="14"/>
          <w:szCs w:val="14"/>
          <w:color w:val="auto"/>
        </w:rPr>
        <w:t>The loss on preferred stock issuance was recorded due to the Series A Preferred Stock being valued in excess of the proceeds received, as part of the August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Financing.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Change in fair value of forward contract. </w:t>
      </w:r>
      <w:r>
        <w:rPr>
          <w:rFonts w:ascii="Times New Roman" w:cs="Times New Roman" w:eastAsia="Times New Roman" w:hAnsi="Times New Roman"/>
          <w:sz w:val="14"/>
          <w:szCs w:val="14"/>
          <w:color w:val="auto"/>
        </w:rPr>
        <w:t>The change in fair value of the liability-classified forward contract, which resulted from the commitments of investors to purchase, and commitments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to sell, additional Series A Preferred Stock, as part of the August 2024 Preferred Financing.</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Restructuring and other related charges. </w:t>
      </w:r>
      <w:r>
        <w:rPr>
          <w:rFonts w:ascii="Times New Roman" w:cs="Times New Roman" w:eastAsia="Times New Roman" w:hAnsi="Times New Roman"/>
          <w:sz w:val="14"/>
          <w:szCs w:val="14"/>
          <w:color w:val="auto"/>
        </w:rPr>
        <w:t>The aggregate adjustment for expenses associated with our restructuring plans as discussed in Note 16,</w:t>
      </w:r>
      <w:r>
        <w:rPr>
          <w:rFonts w:ascii="Times New Roman" w:cs="Times New Roman" w:eastAsia="Times New Roman" w:hAnsi="Times New Roman"/>
          <w:sz w:val="14"/>
          <w:szCs w:val="14"/>
          <w:i w:val="1"/>
          <w:iCs w:val="1"/>
          <w:color w:val="auto"/>
        </w:rPr>
        <w:t xml:space="preserve"> Restructuring Activities</w:t>
      </w:r>
      <w:r>
        <w:rPr>
          <w:rFonts w:ascii="Times New Roman" w:cs="Times New Roman" w:eastAsia="Times New Roman" w:hAnsi="Times New Roman"/>
          <w:sz w:val="14"/>
          <w:szCs w:val="14"/>
          <w:color w:val="auto"/>
        </w:rPr>
        <w:t>, to our financial statements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fees. </w:t>
      </w:r>
      <w:r>
        <w:rPr>
          <w:rFonts w:ascii="Times New Roman" w:cs="Times New Roman" w:eastAsia="Times New Roman" w:hAnsi="Times New Roman"/>
          <w:sz w:val="14"/>
          <w:szCs w:val="14"/>
          <w:color w:val="auto"/>
        </w:rPr>
        <w:t>One-time and/or non-recurring professional fees associated with special projects, including but not limited to the Marriott Agreement, financing activities, restatement,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non-operating initiatives.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Integration costs</w:t>
      </w:r>
      <w:r>
        <w:rPr>
          <w:rFonts w:ascii="Times New Roman" w:cs="Times New Roman" w:eastAsia="Times New Roman" w:hAnsi="Times New Roman"/>
          <w:sz w:val="14"/>
          <w:szCs w:val="14"/>
          <w:color w:val="auto"/>
        </w:rPr>
        <w:t>. One-time and/or non-recurring integration costs associated with the Marriott Agreement.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Adjusted EBITDA is meaningful to investors as it is the primary operating performance measure that we focus on internally to evaluate our core operating performance. Adjusted EBITDA provides a consistent basis for comparison across reporting periods by excluding interest, taxes, depreciation and amortization, and certain one-time, non-recurring or non-operational items, such as lease adjustment gains, net, restructuring and other related charges, and professional fees related to discrete projects such as fees associated with the integration in connection with the strategic licensing agreement with Marriott and restatement activities. It serves as a key measure for us to align the Company financial performance with our internal financial planning and analysis.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change in Adjusted EBITDA period-over-period represented a 37.7% improvement, primarily driven by improved property profitability from the portfolio optimization program and other cost savings measures.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Adjusted EBITDAR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Year ended December 31,</w:t>
            </w:r>
          </w:p>
        </w:tc>
        <w:tc>
          <w:tcPr>
            <w:tcW w:w="1420" w:type="dxa"/>
            <w:vAlign w:val="bottom"/>
          </w:tcPr>
          <w:p>
            <w:pPr>
              <w:spacing w:after="0"/>
              <w:rPr>
                <w:sz w:val="16"/>
                <w:szCs w:val="16"/>
                <w:color w:val="auto"/>
              </w:rPr>
            </w:pPr>
          </w:p>
        </w:tc>
      </w:tr>
      <w:tr>
        <w:trPr>
          <w:trHeight w:val="32"/>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1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67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w w:val="98"/>
              </w:rPr>
              <w:t>(105,483)</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center"/>
              <w:ind w:left="749"/>
              <w:spacing w:after="0"/>
              <w:rPr>
                <w:sz w:val="20"/>
                <w:szCs w:val="20"/>
                <w:color w:val="auto"/>
              </w:rPr>
            </w:pPr>
            <w:r>
              <w:rPr>
                <w:rFonts w:ascii="Times New Roman" w:cs="Times New Roman" w:eastAsia="Times New Roman" w:hAnsi="Times New Roman"/>
                <w:sz w:val="14"/>
                <w:szCs w:val="14"/>
                <w:color w:val="auto"/>
              </w:rPr>
              <w:t>(169,412)</w:t>
            </w:r>
          </w:p>
        </w:tc>
      </w:tr>
      <w:tr>
        <w:trPr>
          <w:trHeight w:val="19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related rent charges</w:t>
            </w:r>
          </w:p>
        </w:tc>
        <w:tc>
          <w:tcPr>
            <w:tcW w:w="1420" w:type="dxa"/>
            <w:vAlign w:val="bottom"/>
          </w:tcPr>
          <w:p>
            <w:pPr>
              <w:spacing w:after="0"/>
              <w:rPr>
                <w:sz w:val="16"/>
                <w:szCs w:val="16"/>
                <w:color w:val="auto"/>
              </w:rPr>
            </w:pPr>
          </w:p>
        </w:tc>
        <w:tc>
          <w:tcPr>
            <w:tcW w:w="82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301,578</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rPr>
              <w:t>320,252</w:t>
            </w:r>
          </w:p>
        </w:tc>
      </w:tr>
      <w:tr>
        <w:trPr>
          <w:trHeight w:val="32"/>
        </w:trPr>
        <w:tc>
          <w:tcPr>
            <w:tcW w:w="67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EBITDAR</w:t>
            </w: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rPr>
              <w:t>196,095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150,840</w:t>
            </w:r>
          </w:p>
        </w:tc>
      </w:tr>
      <w:tr>
        <w:trPr>
          <w:trHeight w:val="32"/>
        </w:trPr>
        <w:tc>
          <w:tcPr>
            <w:tcW w:w="67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define Adjusted EBITDAR as Adjusted EBITDA adjusted for operating lease related rent charges. We believe Adjusted EBITDAR is meaningful to investors as it is an operating performance measure that further enables us to assess our operating performance independent of operating leases, offering insights into our cash flow and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these non-GAAP measures are useful to investors by providing a clearer view of our core operations and allowing better comparability with other companies.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change in Adjusted EBITDAR period-over-period represented a 30.0% improvement, primarily driven by improved property profitability from the portfolio optimization program and other cost savings measures.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 Considerations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accordance with ASC Topic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our consolidated financial statements included in this Annual Report on Form 10-K.</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to the consolidated financial statements included in this Annual Report on Form 10-K, the Company has, throughout 2025, announced certain financing and investment arrangements. While the 2025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actions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demonstrate a series of material steps taken to improve the Company’s financial condition, the Company has a history of net losses and negative operating cash flows and expects to continue to incur additional losses in the near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plans to address the substantial doubt about the Company’s ability to continue as a going concern, as described above, include the following actions:</w:t>
      </w:r>
    </w:p>
    <w:p>
      <w:pPr>
        <w:spacing w:after="0" w:line="200"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execute our portfolio optimization program to mitigate losses related to certain underperforming properties and to assess the Company’s portfolio of rents relative to current operations and existing market rents; and</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its financial performance through the potential to increase revenue by integrating with Marriott’s commercial engine and deliver costs savings.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2024, we had a cash balance, not including restricted cash, of $20.8 million, which was held for working capital purposes. Cash consists of checking and interest-bearing accounts. Reaching sustainable positive Adjusted FCF is a primary focus in the near-term, as detailed in our Cash Flow Positive Plan. Once we reach sustainable positive Adjusted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cash in 2024 was cash inflows from both current period and future guest bookings, in addition to funds received related to the August 2024 Preferred Financing.</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have incurred losses since inception, and we expect to continue to incur additional losses in the future. Our operations to date have been financed primarily by private equity investments in our common stock and convertible preferred stock, convertible notes, and other note and warrant purchase agreements, as described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the notes to our audited consolidated financial statements included in this Annual Report on Form 10-K.</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believe that our existing cash on hand combined with our anticipated estimated Adjusted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Annual Report on Form 10-K. Our future capital requirements will depend on many factors, including, but not limited to, the successful execution of any future financing arrangements,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Most of our cash was held in the United States as of December 31, 2024. Our foreign subsidiaries held $4.0 million of cash in foreign jurisdictions. We currently do not intend or foresee a need to repatriate these foreign funds. As a result of the Tax</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Cuts and Jobs Act of 2017, however, we anticipate the U.S. federal tax impact to be minimal if these foreign funds are repatriated and would not repatriate funds where there was a material tax cost.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Arrangements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Debt arrangements, such as our credit facilities and Delayed Draw Notes, have been a source of cash for our day-to-day operations. Refer to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in the notes to our audited consolidated financial statements included in this Annual Report on Form 10-K for discussion of our debt arrangements, including the timing of expected maturity of such arrangements. These arrangements include our $35.0 million loan and security agreement with Silicon Valley Bank (“SVB”), now a division of First Citizens Bank &amp; Trust Company dated as of December 21, 2022 (the “2022 Loan and Security Agreement”). In November 2023, this facility was amended which reduced the letter of credit sublimit from $60.0 million to $45.0 million. As of December 31, 2024, for so long as we are unable to satisfy a minimum consolidated adjusted EBITDA covenant, we are required to cash collateralize our obligations under the 2022 Loan and Security Agreement. In April 2025, the SVB Amendment (as defined below) reduced the revolving line of credit from $60.0 million to $35.0 million and reduced the letter of credit sublimit from $45.0 million to $35.0 million.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Cash Obligations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Our estimated future obligations as of December 31, 2024 include both current and long-term obligations. Our debt obligations, including both capitalized to-date and future paid-in-kind interest through the election date of June 2024, totaled $313.0 million as of December 31, 2024, of which $1.0 million was short-term and the remainder was long-term. Interest on the foregoing debt obligations is payable in cash after the expiration of the Company’s ability to elect paid-in-kind interest, which has been extended through December 31, 2026. Additionally, we had $48.3 million of irrevocable standby letters of credit outstanding which were collateralized by our restricted cash, all of which represents a long term cash obligation. Under our operating leases as discussed in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 the notes to our consolidated financial statements included in this Annual Report on Form 10-K, we had a current obligation, before imputed interest, of $272.7 million and a long-term obligation, before imputed interest, of $1.3 billion as of December 31, 2024.</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lease obligations primarily represent the initial contracted term for leases that have commenced as of December 31, 2024, not including any future optional renewal periods. In addition, as of December 31, 2024, we have entered into leases that have not yet commenced with short-term future lease payments and long-term future lease payments totaling $625.2 million, excluding purchase options, that are not yet recorded on the consolidated balance sheets and are not reflected in the figure above. These leases are expected to commence between 2025 and 2026, with lease terms of five to 20 years. Certain leases do not have a scheduled commencement date, as they are currently subject to renegotiation.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undertaken a portfolio optimization program, which involves discussions with landlords about renegotiating the terms of leases primarily at certain underperforming properties. This process has resulted in and may continue to result in contract modifications resulting in changes to rent amounts, lease durations, or other provisions of our lease agreements and in the termination of certain leases leading to the transition of certain properties over time and the incurrence of certain expenses, including but not limited to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48"/>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Cash Flow Information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sets forth our cash flows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3"/>
        </w:trPr>
        <w:tc>
          <w:tcPr>
            <w:tcW w:w="10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0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Year ended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
        </w:trPr>
        <w:tc>
          <w:tcPr>
            <w:tcW w:w="10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 Change</w:t>
            </w:r>
          </w:p>
        </w:tc>
      </w:tr>
      <w:tr>
        <w:trPr>
          <w:trHeight w:val="32"/>
        </w:trPr>
        <w:tc>
          <w:tcPr>
            <w:tcW w:w="640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(129,222)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(18,318)</w:t>
            </w:r>
          </w:p>
        </w:tc>
      </w:tr>
      <w:tr>
        <w:trPr>
          <w:trHeight w:val="19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18,091</w:t>
            </w:r>
          </w:p>
        </w:tc>
      </w:tr>
      <w:tr>
        <w:trPr>
          <w:trHeight w:val="32"/>
        </w:trPr>
        <w:tc>
          <w:tcPr>
            <w:tcW w:w="64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59,851</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92,083</w:t>
            </w:r>
          </w:p>
        </w:tc>
      </w:tr>
      <w:tr>
        <w:trPr>
          <w:trHeight w:val="19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Effects of foreign exchange on cash</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r>
      <w:tr>
        <w:trPr>
          <w:trHeight w:val="32"/>
        </w:trPr>
        <w:tc>
          <w:tcPr>
            <w:tcW w:w="640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(64,443)</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(152,689)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88,246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used in operating activities increased year-over year, primarily due to an increase in cash paid for lease terminations, restructuring, and professional fees, partially offset by an improvement in our operating loss performance due to a 3.2% increase in revenue. Cash used in operating activities is subject to variability period-over-period as a result of timing differences, including with respect to the collection of receivables and payments of interest expense, accounts payable, and other items.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(used in) investing activities increased year-over-year, primarily as a result of a decrease in purchases of property and equipment of $7.5 million, largely related to a decrease in purchases for furnishings and fixtures for our Live Units, the receipt of $7.5 million in Key Money proceeds from Marriott as described in the Marriott Agreement, and an increase of $1.5 million in proceeds on disposition of property and equipment.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Net cash provided by (used in) financing activities increased year-over-year, primarily related to proceeds received in the year ended December 31, 2024 of $43.3 million from the preferred stock issuance, a decrease in repayment of debt and related fees of $34.2 million primarily related to a partial repayment of the Delayed Draw Notes in the year ended December 31, 2023, and an increase of $17.0 million year-over-year due to debt financing proceeds from the issuance of an aggregate of $20.0 million of Delayed Draw Notes, inclusive of the New Delayed Draw Warrants, as defined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in the notes to our audited consolidated financial statements included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we had the following off-balance sheet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Letters of Credit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had $48.3 million of irrevocable standby letters of credit outstanding, which were collateralized by our restricted cash, of which $33.3 million were under our revolving credit facilities. Letters of credit are primarily used as a form of security deposits for the buildings and partial buildings we lease.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Surety Bonds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portion of our leases are supported by surety bonds provided by affiliates of certain insurance companies. As of December 31, 2024, we had assembled commitments from six surety providers in the amount of $38.3 million, of which $16.9 million was outstanding and was an off-balance sheet arrangement. The surety bonds are collateralized by our remaining outstanding letters of credit.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Agreements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Note 13,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included within Part II, Item 8 of this Annual Report on Form 10-K for additional information regarding our indemnification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 of Exchange Rates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changes in cash can be impacted by the effect of fluctuating exchange rates. Foreign exchange had a positive effect on cash in the year ended December 31, 2024, increasing our total cash balance by $0.8 million at December 31, 2024, and a negative effect on cash in the year ended December 31, 2023, decreasing our total cash balance by $2.8 million at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U.S.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results of operations, financial condition, and cash flows.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cost of revenue primarily consists of rental expenses from buildings or portions of buildings that serve as accommodations for our guests. We also lease other properties such as warehouses to store furniture. Our rent payment schedules vary by lease term per executed lease agreements and can be monthly, quarterly, or bi-annually. A large majority of our leases contain provisions for rent abatement periods, rent escalation, and tenant improvement allowances. Certain leases require the payment of real estate taxes, insurance, utilities, and certain common area maintenance costs in addition to minimum rent payments. These amounts are expensed as incurred and are included within cost of revenue on our consolidated statements of operations if paid directly to the lessor, or in operations and support if paid to the authority assessing the cost for guest properties and within general and administrative on our consolidated statements of operations for our warehouses.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accordance with Accounting Standards Update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(Topic 842), (Accounting Standards Codification (“ASC”) 842), at the inception of an arrangement, we determine whether the arrangement is or contains a lease based on the unique facts and circumstances present in the arrangement. Leases with a term greater than one year are recognized on the balance sheet as ROU assets and short-term and long-term lease liabilities, as applicable. We do not have material financing leases.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Operating lease liabilities and their corresponding ROU assets are initially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we utilize our incremental borrowing rate to discount lease payments, which reflects the fixed rate at which we could borrow on a collateralized basis the amount of the lease payments in the same currency, for a similar term, in a similar economic environment. The determination of our incremental borrowing rate requires estimates surrounding our credit rating, credit spread, and the impact of collateral. To estimate our incremental borrowing rate, a credit rating applicable to us is estimated using a synthetic credit rating analysis since we do not currently have an agency-based credit rating. Prospectively, we will adjust the ROU assets for straight-line rent expense or any incentives received and remeasure the lease liability at the net present value using the same incremental borrowing rate that was in effect as of the lease commencement or transition date.</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elected not to recognize leases with an original term of one year or less on the balance sheet. We typically only include an initial lease term in our assessment of a lease arrangement. Options to renew a lease are not included in our assessment unless there is reasonable certainty that we will renew. Assumptions that we made at the commencement date are re-evaluated upon occurrence of certain events, including a lease modification. A lease modification results in a separate contract when the modification grants the lessee an additional right of use not included in the original lease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when lease payments increase commensurate with the standalone price for the additional right of use. When a lease modification results in a separate contract, it is accounted for in the same manner as a new lease.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 Entities may elect not to separate lease and non-lease components. Rather, entities would account for each lease component and related non-lease component together as a single lease component. We have elected to account for lease and non-lease components together as a single lease component for all underlying assets and allocate all of the contract consideration to the lease component only. ASC 842 allows for the use of judgment in determining whether the assumed lease term is for a major part of the remaining economic life of the underlying asset and whether the present value of lease payments represents substantially all of the fair value of the underlying asset. We apply the bright line thresholds referenced in ASC 842-10-55-2 to assist in evaluating leases for appropriate classification. The aforementioned bright lines are applied consistently to our entire portfolio of leases.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termination of a lease, related lease balances on the consolidated balance sheet are written-off. A liability for costs to terminate a lease before the end of its term is recognized in accordance with the lease terms and recorded in operations and support on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Long-lived assets that are held and used by the Company are reviewed for impairment when events or changes in circumstances indicate that the carrying amount of the asset may not be recoverable. The asset group is comprised of both property and equipment and operating lease right-of-use assets. Determination of recoverability of long-lived assets is based on an estimate of the undiscounted</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cash flows resulting from the use of the asset and its eventual disposition. Our estimate of undiscounted cash flows over the lease term is based upon our experience, the historical operations and estimates of future profitability and economic conditions. The estimates of future profitability and economic conditions require estimating assumptions such as forecasting revenue and expenses.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impairments to ROU assets, leasehold improvements, or other assets as a result of a sublease, abandonment, or other similar factor are recorded as an operating expense. Similar to other long-lived assets, management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income taxes in the United States and foreign jurisdictions in which we operate. We account for income taxes under the asset and liability method, whereby deferred tax assets and liabilities are recognized based on the future tax consequences attributable to temporary differences between the financial statement carrying amounts of existing assets and liabilities and their respective tax bases, and attributable to operating loss and tax credit carry-forwards. We account for uncertainty in tax positions by recognizing a tax benefit from uncertain tax positions when it is more likely than not that the position will be sustained upon examination. Evaluating our uncertain tax positions, determining our provision for income taxes, and evaluating the impact of tax law changes, are inherently uncertain and require making judgments, assumptions, and estimates.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determining the need for a valuation allowance, we weigh both positive and negative evidence in the various jurisdictions in which we operate to determine whether it is more likely than not that our deferred tax assets are recoverable. We regularly assess all available evidence, including cumulative historic losses and forecasted earnings. Due to cumulative losses in the U.S. during the current and prior two years, including tax deductible stock compensation, and based on all available positive and negative evidence, we do not believe it is more likely than not that our net U.S. deferred tax assets will be realized as of December 31, 2024. Accordingly, a full valuation allowance has been established in the United States, and no deferred tax assets and related tax benefit have been recognized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we believe that we have adequately reserved for our uncertain tax positions, no assurance can be given that the final tax outcome of these matters will not be different. We adjust these reserves in light of changing facts and circumstances, such as the closing of a tax audit. To the extent that the final tax outcome of these matters is different than the amounts recorded, such differences may impact the provision for income taxes and the effective tax rate in the period in which such determination is made.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Market Value of the August 2024 Securities Purchase Agreements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August 13, 2024, the Company entered into securities purchase agreements with certain qualified institutional buyers or accredited investors of an aggregate of $43.3 million newly issued shares of Series A Preferred Stock, par value $0.0001 per share, in exchange for cash consideration of approximately $43.3 million (the “Securities Purchase Agreements”).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sale of the Series A Preferred Stock pursuant to the Securities Purchase Agreements took place in multiple tranches. The first tranche closed on August 13, 2024 and comprised of about 14.7 million shares of Preferred Stock for a purchase price of approximately $14.7 million. The second tranche closed on November 6, 2024 and comprised of about 28.6 million shares of Preferred Stock in total for a purchase price of approximately $28.6 million.</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recognized a loss on the preferred stock transaction based on the fair market value of (a) the equity-classified preferred stock, (b) the liability-classified forward contract, and (c) the liability-classified participation rights as of the transaction date. The Company measured the Series A Preferred Stock as of August 13, 2024, the forward contract liability from inception on August 13, 2024 through settlement at the closing of the second tranche on November 6, 2024, and the preferred stock participation right from inception on August 13, 2024 through December 31, 2024 at fair value.</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valuation model and discount rate assumption used in the valuation model had a significant effect on the fair value measurement of the equity-classified preferred stock and the liability-classified forward contract. The liability-classified forward contract and participation rights are remeasured each reporting period reflecting fluctuations in the underlying variables and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Standards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Recently Issued Accounting Standards,</w:t>
      </w:r>
      <w:r>
        <w:rPr>
          <w:rFonts w:ascii="Times New Roman" w:cs="Times New Roman" w:eastAsia="Times New Roman" w:hAnsi="Times New Roman"/>
          <w:sz w:val="14"/>
          <w:szCs w:val="14"/>
          <w:color w:val="auto"/>
        </w:rPr>
        <w:t xml:space="preserve"> to the consolidated financial statements included within Part II, Item 8 of this Annual Report on Form 10-K for additional information regarding recently adopted accounting standards and recently issued accounting standards not yet adopted.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Sonder’s substantial global operations exposes it to various market risks, primarily including foreign currency risk, interest rate risk, and inflation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 transacts business in multiple currencies worldwide. The most significant currency supporting Sonder’s operations for the years ended December 31, 2024 and 2023 was the U.S. dollar.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Sonder’s international revenue, as well as costs and expenses denominated in foreign currencies, exposes it to the risk of fluctuations in foreign currency exchange rates against the U.S. dollar.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Sonder is subject to foreign currency risk, which may adversely impact its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 has foreign currency exchange risks related primarily to:</w:t>
      </w:r>
    </w:p>
    <w:p>
      <w:pPr>
        <w:spacing w:after="0" w:line="23" w:lineRule="exact"/>
        <w:rPr>
          <w:sz w:val="20"/>
          <w:szCs w:val="20"/>
          <w:color w:val="auto"/>
        </w:rPr>
      </w:pPr>
    </w:p>
    <w:p>
      <w:pPr>
        <w:ind w:left="520" w:hanging="260"/>
        <w:spacing w:after="0" w:line="25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rent, and cleaning fees, which are included in cost of revenue, associated with bookings through its direct and indirect channels denominated in currencies other than the U.S. dollar;</w:t>
      </w:r>
    </w:p>
    <w:p>
      <w:pPr>
        <w:spacing w:after="0" w:line="16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held as funds receivable and amounts held on behalf of guests as well as funds payable, amounts payable to guests and deposits due from landlords;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balances primarily related to its payment entities that process payments.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revenue and cost of revenue associated with bookings through its direct and indirect channels outside of the U.S., Sonder generally receives net foreign currency amounts and therefore benefits from a weakening of the U.S. dollar and is adversely affected by a strengthening of the U.S. dollar. Movements in foreign exchange rates are recorded in other expense, net in Sonder’s consolidated statements of operations and comprehensive loss.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Sonder has experienced and will continue to experience fluctuations in foreign exchange gains and losses related to variable exchange rates. If Sonder’s foreign-currency denominated assets, liabilities, revenue, or expenses increase, its results of operations may be more significantly impacted by fluctuations in the exchange rates of the currencies in which Sonder does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 is exposed to interest rate risk related primarily to its outstanding debt. Changes in interest rates affect the interest earned on its total cash as well as interest paid on its debt.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Sonder has not been exposed to, nor anticipates exposure to, material risks due to changes in interest rates. A hypothetical 100 basis points increase or decrease in interest rates would not have had a material impact on its consolidated financial statements as of December 31, 2024.</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Continued increases in interest rates have caused and may continue to cause some property owners and developers to have difficulty financing, refinancing, or completing projects that we plan to lease or that are currently under contract with us. As a result, any such properties in our forecast property pipeline may never develop into new sources of revenue when we anticipated, or at all.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Inflation Risk</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Many of our major markets, including the U.S., have been experiencing elevated inflation levels as a result of global supply and demand imbalances, where global demand continues to outpace current supplies. Inflationary pressures, particularly as they relate to construction costs for properties we plan to lease, rent escalations associated with changes in price indexes, and other material costs to our business, along with supply chain disruptions, could result in increases to our operating and capital costs that are not fixed, reductions in consumers’ willingness or ability to travel, and fewer units in our pipeline of potential leased properties. These economic variables are beyond our control and may adversely impact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06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106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80" w:type="dxa"/>
            <w:vAlign w:val="bottom"/>
            <w:gridSpan w:val="2"/>
          </w:tcPr>
          <w:p>
            <w:pPr>
              <w:jc w:val="center"/>
              <w:ind w:right="31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No. 34)</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73</w:t>
            </w: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0000FF"/>
            </w:tcBorders>
            <w:gridSpan w:val="2"/>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77</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0" w:type="dxa"/>
            <w:vAlign w:val="bottom"/>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0000FF"/>
            </w:tcBorders>
            <w:gridSpan w:val="3"/>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Mezzanine Equity and Stockholders’ Deficit</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0000FF"/>
            </w:tcBorders>
            <w:gridSpan w:val="3"/>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440" w:type="dxa"/>
            <w:vAlign w:val="bottom"/>
            <w:tcBorders>
              <w:bottom w:val="single" w:sz="8" w:color="0000FF"/>
            </w:tcBorders>
            <w:gridSpan w:val="3"/>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0000FF"/>
            </w:tcBorders>
            <w:gridSpan w:val="4"/>
          </w:tcPr>
          <w:p>
            <w:pPr>
              <w:spacing w:after="0" w:line="20" w:lineRule="exact"/>
              <w:rPr>
                <w:sz w:val="1"/>
                <w:szCs w:val="1"/>
                <w:color w:val="auto"/>
              </w:rPr>
            </w:pPr>
          </w:p>
        </w:tc>
        <w:tc>
          <w:tcPr>
            <w:tcW w:w="7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10680" w:type="dxa"/>
            <w:vAlign w:val="bottom"/>
            <w:gridSpan w:val="9"/>
          </w:tcPr>
          <w:p>
            <w:pPr>
              <w:jc w:val="right"/>
              <w:ind w:right="496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Sonder Holdings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Sonder Holdings Inc. and subsidiaries (the "Company") as of December 31, 2024 and 2023, the related consolidated statements of operations and comprehensive loss, mezzanine equity and stockholders’ deficit, and cash flows for years ended December 31, 2024 and 2023, and the related notes (collectively referred to as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"financial statements"). In our opinion, the financial statements present fairly, in all material respects, the financial position of the Company as of December 31, 2024 and 2023, and the results of its operations and its cash flows for the years ended December 31, 2024 and 2023,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8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1 to the financial statements, the Company has suffered recurring losses from operations and negative operating cash flows, which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 — Refer to Notes 1 and 9 to the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The Company leases buildings or portions of buildings for guest usage and warehouses to store furniture under operating lease agreements. As of December 31, 2024, operating lease right-of-use assets (“ROU assets”) were $1.0 billion, current operating lease liabilities were $172 million, and non-current operating lease liabilities were $1.0 billion. In accordance with Accounting Standards Codification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 the Company determines whether an arrangement is or contains a lease, and how to account for the lease, based on the unique facts and circumstances present in the arrangement.</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Operating lease liabilities and their corresponding ROU assets are initially recorded based on the present value of lease payments over the expected remaining lease term. The Company uses its incremental borrowing rate based on the information available at lease commencement date in determining the present value of lease payments used in measuring lease ROU assets and liabilities. The incremental borrowing rate reflects the fixed rate at which an entity could borrow on a collateralized basis the amount of the lease payments in the same currency, for a similar term, in a similar economic environment. Since the Company does not currently have a ratings agency-based credit rating, the Company estimates its incremental borrowing rate using a synthetic credit rating analysis, its estimated credit spread, and an estimated impact of collateral on the respective lease.</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identified the accounting for leases as a critical audit matter because of a) the complexities associated with evaluating the unique facts and circumstances, including those in contractual provisions, present in certain of the Company’s leases, and b) the significant estimates and assumptions made by the Company such as its credit rating, credit spread, and the impact of collateral in the determination of the incremental borrowing rate. This required extensive audit effort due to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volume and complexities of the Company’s leases and a high degree of auditor judgment and an increased extent of audit effort, including the need to involve our fair value specialists, when performing audit procedures to evaluate the reasonableness of estimates used in the Company’s accounting for leases and determination of the incremental borrowing 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accounting for leases included the following, among others:</w:t>
      </w:r>
    </w:p>
    <w:p>
      <w:pPr>
        <w:spacing w:after="0" w:line="189"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leases and performed the following:</w:t>
      </w:r>
    </w:p>
    <w:p>
      <w:pPr>
        <w:spacing w:after="0" w:line="189"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facts and circumstances used in the calculation of the ROU asset and the lease liability by agreeing the underlying inputs, such as the lease commencement date, lease term, and lease payments to executed lease agreements.</w:t>
      </w:r>
    </w:p>
    <w:p>
      <w:pPr>
        <w:spacing w:after="0" w:line="13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Company’s application of ASC 842 to the facts and circumstances of the lease.</w:t>
      </w:r>
    </w:p>
    <w:p>
      <w:pPr>
        <w:spacing w:after="0" w:line="18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Company’s calculation of the lease ROU asset and lease liability.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w:t>
      </w:r>
    </w:p>
    <w:p>
      <w:pPr>
        <w:spacing w:after="0" w:line="18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reasonableness of the methodology used by the Company in applying the principles of ASC 842 to estimate the incremental borrowing rate.</w:t>
      </w:r>
    </w:p>
    <w:p>
      <w:pPr>
        <w:spacing w:after="0" w:line="189"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reasonableness of significant estimates and assumptions made by the Company such as its credit rating, credit spread, and the impact of collateral in the determination of the incremental borrowing rate by comparing them to the Company-specific benchmarks, information regarding comparable companies, and other market information.</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Company’s calculation used in determining the incremental borrowing 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 Right-of-use Assets and Property and Equipment, net – Impairment of Long-lived Assets — Refer to Notes 1, 6, and 9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Long-lived assets that are held and used by the Company, including ROU assets, are reviewed for impairment when events or changes in circumstances indicate that the carrying amount of the asset may not be recoverable. The asset group is comprised of both property and equipment and operating lease right-of-use assets.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 Impairment charges recorded related to long-lived assets for the year ended December 31, 2024 were $13.2 million.</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identified impairment of long-lived assets as a critical audit matter because the estimated future cash flows to determine the recoverability of long-lived assets requires significant management estimates and assumptions, specifically forecasting future revenue and expenses. Additionally, the measurement of an impairment loss involves determination of the fair value of an asset group, which includes estimates of market rental rates.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Performing audit procedures to evaluate the reasonableness of the Company’s estimates and assumptions used in determining the recoverability and measuring the impairment of long-lived assets involved a high degree of auditor judgment and an increased extent of effort, including the need to involve our fair value specialists and to involve more experienced audit professionals.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audit procedures related to management's estimates and assumptions regarding the estimated future cash flows, specifically forecasting future revenue and expenses and fair value of asset groups included the following, among others: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accurately estimate future cash flows by comparing actual results to management's historical forecasts.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estimated future cash flows by comparing the projections to historical results, industry publications and other relevant publicly available information.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appropriateness of the methodology utilized by management to estimate the fair value of the asset group.</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mathematical accuracy and consistency of the application of the Company's valuation model with the assistance of our fair value specialists, including the fair market rental rates utilized by management to estimate the fair value of the asset group.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Preferred Stock – Refer to Notes 5 and 8 of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August 13, 2024, the Company entered into securities purchase agreements with certain qualified institutional buyers or accredited investors of an aggregate of 43,300,000 newly issued shares of Series A Preferred Stock, par value $0.0001 per share (“Series A Preferred Stock”), in exchange for cash consideration of $1.00 per share and in an aggregate amount of approximately $43.3 million (“Securities Purchase Agreements”). The first tranche closed on August 13, 2024 and the second tranche closed on November 6, 2024.</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identified the following freestanding financial instruments issued in connection with the transaction, a) mezzanine equity-classified Series A Preferred Stock (“Series A Preferred Stock”), b) liability-classified forward contract for commitments of investors to purchase, and commitments of the Company to sell, additional Series A Preferred Stock (“forward contract liability”), and c) liability-classified preferred stock participation right (together “Freestanding Financial Instruments”).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measured the Series A Preferred Stock as of August 13, 2024, the forward contract liability from inception on August 13, 2024 through settlement at the closing of the second tranche on November 6, 2024 and the preferred stock participation right from inception on August 13, 2024 through December 31, 2024 at fair value. The valuation model and discount rate assumption used in the valuation model of the Series A Preferred Stock and the forward contract liability had a significant effect on the fair value measurement of these instruments.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identified the accounting for the Securities Purchase Agreements and management’s fair value measurements of the Series A Preferred Stock and forward contract liability as a critical audit matter due to the complexity of the agreements and the significant judgments made by management in determining the valuation model and discount rate to be used in the valuation. Auditing the Securities Purchase Agreements required a high degree of auditor judgment and the involvement of more experienced personnel to evaluate management’s identification of the Freestanding Financial Instruments. Given that management’s judgments related to the valuation model and discount rate were especially challenging, this required a high degree of auditor judgment and an increased extent of effort, including the involvement of our fair value specialists.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audit procedures related to the accounting for the Securities Purchase Agreements and management’s fair value measurements of the Series A Preferred Stock and the forward contract liability included the following, among others:</w:t>
      </w:r>
    </w:p>
    <w:p>
      <w:pPr>
        <w:spacing w:after="0" w:line="146" w:lineRule="exact"/>
        <w:rPr>
          <w:sz w:val="20"/>
          <w:szCs w:val="20"/>
          <w:color w:val="auto"/>
        </w:rPr>
      </w:pPr>
    </w:p>
    <w:p>
      <w:pPr>
        <w:ind w:left="520" w:hanging="260"/>
        <w:spacing w:after="0" w:line="27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involved more experienced personnel to read and analyze the Stock Purchase Agreements and management's accounting for these agreements, including the identification of the Freestanding Financial Instruments.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w:t>
      </w:r>
    </w:p>
    <w:p>
      <w:pPr>
        <w:spacing w:after="0" w:line="18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appropriateness of management's application of the valuation model.</w:t>
      </w:r>
    </w:p>
    <w:p>
      <w:pPr>
        <w:spacing w:after="0" w:line="189" w:lineRule="exact"/>
        <w:rPr>
          <w:rFonts w:ascii="Times New Roman" w:cs="Times New Roman" w:eastAsia="Times New Roman" w:hAnsi="Times New Roman"/>
          <w:sz w:val="14"/>
          <w:szCs w:val="14"/>
          <w:color w:val="auto"/>
        </w:rPr>
      </w:pPr>
    </w:p>
    <w:p>
      <w:pPr>
        <w:ind w:left="1020" w:hanging="251"/>
        <w:spacing w:after="0" w:line="271" w:lineRule="auto"/>
        <w:tabs>
          <w:tab w:leader="none" w:pos="1017"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reasonableness of the discount rate used by developing a range of independent estimates and comparing those estimates to the discount rate assumptions selected by management.</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mathematical accuracy and consistency of the application of the Company’s valuation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2"/>
        </w:trPr>
        <w:tc>
          <w:tcPr>
            <w:tcW w:w="1000" w:type="dxa"/>
            <w:vAlign w:val="bottom"/>
            <w:tcBorders>
              <w:top w:val="single" w:sz="8" w:color="0000FF"/>
            </w:tcBorders>
          </w:tcPr>
          <w:p>
            <w:pPr>
              <w:spacing w:after="0"/>
              <w:rPr>
                <w:sz w:val="24"/>
                <w:szCs w:val="24"/>
                <w:color w:val="auto"/>
              </w:rPr>
            </w:pPr>
          </w:p>
        </w:tc>
        <w:tc>
          <w:tcPr>
            <w:tcW w:w="6460" w:type="dxa"/>
            <w:vAlign w:val="bottom"/>
          </w:tcPr>
          <w:p>
            <w:pPr>
              <w:jc w:val="center"/>
              <w:ind w:left="2769"/>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460" w:type="dxa"/>
            <w:vAlign w:val="bottom"/>
          </w:tcPr>
          <w:p>
            <w:pPr>
              <w:jc w:val="center"/>
              <w:ind w:left="274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460" w:type="dxa"/>
            <w:vAlign w:val="bottom"/>
          </w:tcPr>
          <w:p>
            <w:pPr>
              <w:jc w:val="center"/>
              <w:ind w:left="2749"/>
              <w:spacing w:after="0"/>
              <w:rPr>
                <w:sz w:val="20"/>
                <w:szCs w:val="20"/>
                <w:color w:val="auto"/>
              </w:rPr>
            </w:pPr>
            <w:r>
              <w:rPr>
                <w:rFonts w:ascii="Times New Roman" w:cs="Times New Roman" w:eastAsia="Times New Roman" w:hAnsi="Times New Roman"/>
                <w:sz w:val="14"/>
                <w:szCs w:val="14"/>
                <w:b w:val="1"/>
                <w:bCs w:val="1"/>
                <w:color w:val="auto"/>
              </w:rPr>
              <w:t>December 31, 2024 and 2023</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6460" w:type="dxa"/>
            <w:vAlign w:val="bottom"/>
          </w:tcPr>
          <w:p>
            <w:pPr>
              <w:jc w:val="center"/>
              <w:ind w:left="274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0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24"/>
                <w:szCs w:val="24"/>
                <w:color w:val="auto"/>
              </w:rPr>
            </w:pPr>
          </w:p>
        </w:tc>
        <w:tc>
          <w:tcPr>
            <w:tcW w:w="16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95,763</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40,734</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of $14,587 and $6,196 at December 31, 2024 and 2023, respectively</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11,345</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99,846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161,207</w:t>
            </w: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22,775</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1,013,854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1,322,135</w:t>
            </w: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15,150</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1,137,177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1,521,267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0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23,560</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36,040</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payable</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14,005</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61,971</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Current portion of long-term debt, net</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168,710</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171,736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199,364</w:t>
            </w:r>
          </w:p>
        </w:tc>
        <w:tc>
          <w:tcPr>
            <w:tcW w:w="0" w:type="dxa"/>
            <w:vAlign w:val="bottom"/>
          </w:tcPr>
          <w:p>
            <w:pPr>
              <w:spacing w:after="0"/>
              <w:rPr>
                <w:sz w:val="1"/>
                <w:szCs w:val="1"/>
                <w:color w:val="auto"/>
              </w:rPr>
            </w:pPr>
          </w:p>
        </w:tc>
      </w:tr>
      <w:tr>
        <w:trPr>
          <w:trHeight w:val="181"/>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338,547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506,236</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1,389,580</w:t>
            </w: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81"/>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1,573,065</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1,897,968</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000" w:type="dxa"/>
            <w:vAlign w:val="bottom"/>
            <w:shd w:val="clear" w:color="auto" w:fill="CCEEFF"/>
          </w:tcPr>
          <w:p>
            <w:pPr>
              <w:spacing w:after="0"/>
              <w:rPr>
                <w:sz w:val="13"/>
                <w:szCs w:val="13"/>
                <w:color w:val="auto"/>
              </w:rPr>
            </w:pPr>
          </w:p>
        </w:tc>
        <w:tc>
          <w:tcPr>
            <w:tcW w:w="6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74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Mezzanine equity:</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redeemable convertible preferred stock: $0.0001 par value; 250,000,000 shares authorized, 43,300,000 shares issued and</w:t>
            </w:r>
          </w:p>
        </w:tc>
        <w:tc>
          <w:tcPr>
            <w:tcW w:w="24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w:t>
            </w:r>
          </w:p>
        </w:tc>
        <w:tc>
          <w:tcPr>
            <w:tcW w:w="2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977,112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977,503</w:t>
            </w:r>
          </w:p>
        </w:tc>
        <w:tc>
          <w:tcPr>
            <w:tcW w:w="0" w:type="dxa"/>
            <w:vAlign w:val="bottom"/>
          </w:tcPr>
          <w:p>
            <w:pPr>
              <w:spacing w:after="0"/>
              <w:rPr>
                <w:sz w:val="1"/>
                <w:szCs w:val="1"/>
                <w:color w:val="auto"/>
              </w:rPr>
            </w:pPr>
          </w:p>
        </w:tc>
      </w:tr>
      <w:tr>
        <w:trPr>
          <w:trHeight w:val="191"/>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32"/>
        </w:trPr>
        <w:tc>
          <w:tcPr>
            <w:tcW w:w="7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(1,359,181)</w:t>
            </w:r>
          </w:p>
        </w:tc>
        <w:tc>
          <w:tcPr>
            <w:tcW w:w="0" w:type="dxa"/>
            <w:vAlign w:val="bottom"/>
          </w:tcPr>
          <w:p>
            <w:pPr>
              <w:spacing w:after="0"/>
              <w:rPr>
                <w:sz w:val="1"/>
                <w:szCs w:val="1"/>
                <w:color w:val="auto"/>
              </w:rPr>
            </w:pPr>
          </w:p>
        </w:tc>
      </w:tr>
      <w:tr>
        <w:trPr>
          <w:trHeight w:val="181"/>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(598,795)</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(376,701)</w:t>
            </w:r>
          </w:p>
        </w:tc>
        <w:tc>
          <w:tcPr>
            <w:tcW w:w="0" w:type="dxa"/>
            <w:vAlign w:val="bottom"/>
          </w:tcPr>
          <w:p>
            <w:pPr>
              <w:spacing w:after="0"/>
              <w:rPr>
                <w:sz w:val="1"/>
                <w:szCs w:val="1"/>
                <w:color w:val="auto"/>
              </w:rPr>
            </w:pPr>
          </w:p>
        </w:tc>
      </w:tr>
      <w:tr>
        <w:trPr>
          <w:trHeight w:val="32"/>
        </w:trPr>
        <w:tc>
          <w:tcPr>
            <w:tcW w:w="74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1,137,177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1,521,267</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886"/>
        </w:trPr>
        <w:tc>
          <w:tcPr>
            <w:tcW w:w="100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458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7380" w:type="dxa"/>
            <w:vAlign w:val="bottom"/>
            <w:gridSpan w:val="3"/>
          </w:tcPr>
          <w:p>
            <w:pPr>
              <w:jc w:val="center"/>
              <w:ind w:left="182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580" w:type="dxa"/>
            <w:vAlign w:val="bottom"/>
            <w:gridSpan w:val="2"/>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9"/>
              </w:rPr>
              <w:t>Years ended December 31, 2024 and 2023</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80" w:type="dxa"/>
            <w:vAlign w:val="bottom"/>
            <w:gridSpan w:val="2"/>
          </w:tcPr>
          <w:p>
            <w:pPr>
              <w:jc w:val="center"/>
              <w:ind w:right="82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2"/>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Years ended December 31,</w:t>
            </w:r>
          </w:p>
        </w:tc>
        <w:tc>
          <w:tcPr>
            <w:tcW w:w="1240" w:type="dxa"/>
            <w:vAlign w:val="bottom"/>
          </w:tcPr>
          <w:p>
            <w:pPr>
              <w:spacing w:after="0"/>
              <w:rPr>
                <w:sz w:val="24"/>
                <w:szCs w:val="24"/>
                <w:color w:val="auto"/>
              </w:rPr>
            </w:pPr>
          </w:p>
        </w:tc>
      </w:tr>
      <w:tr>
        <w:trPr>
          <w:trHeight w:val="32"/>
        </w:trPr>
        <w:tc>
          <w:tcPr>
            <w:tcW w:w="1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5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3800" w:type="dxa"/>
            <w:vAlign w:val="bottom"/>
            <w:tcBorders>
              <w:bottom w:val="single" w:sz="8" w:color="CCEEFF"/>
            </w:tcBorders>
            <w:gridSpan w:val="2"/>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580" w:type="dxa"/>
            <w:vAlign w:val="bottom"/>
            <w:tcBorders>
              <w:bottom w:val="single" w:sz="8" w:color="CCEEFF"/>
            </w:tcBorders>
            <w:gridSpan w:val="2"/>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621,272</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602,066</w:t>
            </w: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377,243</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392,898</w:t>
            </w:r>
          </w:p>
        </w:tc>
      </w:tr>
      <w:tr>
        <w:trPr>
          <w:trHeight w:val="191"/>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Operations and support</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184,343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212,913</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123,390</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112,082</w:t>
            </w:r>
          </w:p>
        </w:tc>
      </w:tr>
      <w:tr>
        <w:trPr>
          <w:trHeight w:val="191"/>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22,365</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84,248</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78,566</w:t>
            </w:r>
          </w:p>
        </w:tc>
      </w:tr>
      <w:tr>
        <w:trPr>
          <w:trHeight w:val="217"/>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Impairment losses</w:t>
            </w:r>
          </w:p>
        </w:tc>
        <w:tc>
          <w:tcPr>
            <w:tcW w:w="3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59,165</w:t>
            </w:r>
          </w:p>
        </w:tc>
      </w:tr>
      <w:tr>
        <w:trPr>
          <w:trHeight w:val="228"/>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Integration costs</w:t>
            </w:r>
          </w:p>
        </w:tc>
        <w:tc>
          <w:tcPr>
            <w:tcW w:w="3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33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219"/>
        </w:trPr>
        <w:tc>
          <w:tcPr>
            <w:tcW w:w="38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3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803,889</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880,108</w:t>
            </w:r>
          </w:p>
        </w:tc>
      </w:tr>
      <w:tr>
        <w:trPr>
          <w:trHeight w:val="181"/>
        </w:trPr>
        <w:tc>
          <w:tcPr>
            <w:tcW w:w="3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Loss from operations</w:t>
            </w:r>
          </w:p>
        </w:tc>
        <w:tc>
          <w:tcPr>
            <w:tcW w:w="33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(182,617)</w:t>
            </w: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(278,042)</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2"/>
        </w:trPr>
        <w:tc>
          <w:tcPr>
            <w:tcW w:w="3800" w:type="dxa"/>
            <w:vAlign w:val="bottom"/>
            <w:gridSpan w:val="2"/>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25,409</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SPAC Warrants</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 value of Earn Out Liability</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adjustment (gains), net</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(93,175)</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w:t>
            </w: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83,812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w:t>
            </w:r>
          </w:p>
        </w:tc>
        <w:tc>
          <w:tcPr>
            <w:tcW w:w="3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28,652</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r>
      <w:tr>
        <w:trPr>
          <w:trHeight w:val="32"/>
        </w:trPr>
        <w:tc>
          <w:tcPr>
            <w:tcW w:w="3800" w:type="dxa"/>
            <w:vAlign w:val="bottom"/>
            <w:tcBorders>
              <w:bottom w:val="single" w:sz="8" w:color="CCEEFF"/>
            </w:tcBorders>
            <w:gridSpan w:val="2"/>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38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non-operating expense, net</w:t>
            </w:r>
          </w:p>
        </w:tc>
        <w:tc>
          <w:tcPr>
            <w:tcW w:w="3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43,476</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18,559</w:t>
            </w:r>
          </w:p>
        </w:tc>
      </w:tr>
      <w:tr>
        <w:trPr>
          <w:trHeight w:val="18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3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(226,093)</w:t>
            </w: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(296,601)</w:t>
            </w:r>
          </w:p>
        </w:tc>
      </w:tr>
      <w:tr>
        <w:trPr>
          <w:trHeight w:val="32"/>
        </w:trPr>
        <w:tc>
          <w:tcPr>
            <w:tcW w:w="3800" w:type="dxa"/>
            <w:vAlign w:val="bottom"/>
            <w:tcBorders>
              <w:bottom w:val="single" w:sz="8" w:color="CCEEFF"/>
            </w:tcBorders>
            <w:gridSpan w:val="2"/>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3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r>
      <w:tr>
        <w:trPr>
          <w:trHeight w:val="18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30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(224,087)</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(295,668)</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8"/>
        </w:trPr>
        <w:tc>
          <w:tcPr>
            <w:tcW w:w="100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4580" w:type="dxa"/>
            <w:vAlign w:val="bottom"/>
            <w:gridSpan w:val="2"/>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tcPr>
          <w:p>
            <w:pPr>
              <w:spacing w:after="0"/>
              <w:rPr>
                <w:sz w:val="17"/>
                <w:szCs w:val="17"/>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100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1"/>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2"/>
        </w:trPr>
        <w:tc>
          <w:tcPr>
            <w:tcW w:w="3800" w:type="dxa"/>
            <w:vAlign w:val="bottom"/>
            <w:gridSpan w:val="2"/>
          </w:tcPr>
          <w:p>
            <w:pPr>
              <w:spacing w:after="0"/>
              <w:rPr>
                <w:sz w:val="2"/>
                <w:szCs w:val="2"/>
                <w:color w:val="auto"/>
              </w:rPr>
            </w:pPr>
          </w:p>
        </w:tc>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4580" w:type="dxa"/>
            <w:vAlign w:val="bottom"/>
            <w:tcBorders>
              <w:bottom w:val="single" w:sz="8" w:color="CCEEFF"/>
            </w:tcBorders>
            <w:gridSpan w:val="2"/>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(224,087)</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(295,668)</w:t>
            </w:r>
          </w:p>
        </w:tc>
      </w:tr>
      <w:tr>
        <w:trPr>
          <w:trHeight w:val="191"/>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3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r>
      <w:tr>
        <w:trPr>
          <w:trHeight w:val="32"/>
        </w:trPr>
        <w:tc>
          <w:tcPr>
            <w:tcW w:w="3800" w:type="dxa"/>
            <w:vAlign w:val="bottom"/>
            <w:tcBorders>
              <w:bottom w:val="single" w:sz="8" w:color="CCEEFF"/>
            </w:tcBorders>
            <w:gridSpan w:val="2"/>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4580" w:type="dxa"/>
            <w:vAlign w:val="bottom"/>
            <w:gridSpan w:val="2"/>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(221,703)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(303,718)</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MEZZANINE EQUITY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140335</wp:posOffset>
            </wp:positionV>
            <wp:extent cx="491807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18075" cy="6985"/>
                    </a:xfrm>
                    <a:prstGeom prst="rect">
                      <a:avLst/>
                    </a:prstGeom>
                    <a:noFill/>
                  </pic:spPr>
                </pic:pic>
              </a:graphicData>
            </a:graphic>
          </wp:anchor>
        </w:drawing>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color w:val="auto"/>
                <w:w w:val="97"/>
              </w:rPr>
              <w:t>Post-Combination Exchangeable</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rPr>
              <w:t>Additional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8"/>
              </w:rPr>
              <w:t>Accumulated</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3"/>
        </w:trPr>
        <w:tc>
          <w:tcPr>
            <w:tcW w:w="3580" w:type="dxa"/>
            <w:vAlign w:val="bottom"/>
          </w:tcPr>
          <w:p>
            <w:pPr>
              <w:spacing w:after="0"/>
              <w:rPr>
                <w:sz w:val="4"/>
                <w:szCs w:val="4"/>
                <w:color w:val="auto"/>
              </w:rPr>
            </w:pPr>
          </w:p>
        </w:tc>
        <w:tc>
          <w:tcPr>
            <w:tcW w:w="18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3"/>
                <w:szCs w:val="13"/>
                <w:color w:val="auto"/>
              </w:rPr>
              <w:t>Common Stock</w:t>
            </w:r>
          </w:p>
        </w:tc>
        <w:tc>
          <w:tcPr>
            <w:tcW w:w="19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5"/>
              </w:rPr>
              <w:t>Common Stock</w:t>
            </w: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5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3"/>
                <w:szCs w:val="13"/>
                <w:color w:val="auto"/>
                <w:w w:val="95"/>
              </w:rPr>
              <w:t>Paid-in</w:t>
            </w:r>
          </w:p>
        </w:tc>
        <w:tc>
          <w:tcPr>
            <w:tcW w:w="100" w:type="dxa"/>
            <w:vAlign w:val="bottom"/>
          </w:tcPr>
          <w:p>
            <w:pPr>
              <w:spacing w:after="0"/>
              <w:rPr>
                <w:sz w:val="9"/>
                <w:szCs w:val="9"/>
                <w:color w:val="auto"/>
              </w:rPr>
            </w:pPr>
          </w:p>
        </w:tc>
        <w:tc>
          <w:tcPr>
            <w:tcW w:w="900" w:type="dxa"/>
            <w:vAlign w:val="bottom"/>
            <w:gridSpan w:val="2"/>
            <w:vMerge w:val="restart"/>
          </w:tcPr>
          <w:p>
            <w:pPr>
              <w:jc w:val="center"/>
              <w:ind w:right="200"/>
              <w:spacing w:after="0" w:line="138" w:lineRule="exact"/>
              <w:rPr>
                <w:sz w:val="20"/>
                <w:szCs w:val="20"/>
                <w:color w:val="auto"/>
              </w:rPr>
            </w:pPr>
            <w:r>
              <w:rPr>
                <w:rFonts w:ascii="Times New Roman" w:cs="Times New Roman" w:eastAsia="Times New Roman" w:hAnsi="Times New Roman"/>
                <w:sz w:val="13"/>
                <w:szCs w:val="13"/>
                <w:color w:val="auto"/>
                <w:w w:val="97"/>
              </w:rPr>
              <w:t>Translation</w:t>
            </w:r>
          </w:p>
        </w:tc>
        <w:tc>
          <w:tcPr>
            <w:tcW w:w="80" w:type="dxa"/>
            <w:vAlign w:val="bottom"/>
          </w:tcPr>
          <w:p>
            <w:pPr>
              <w:spacing w:after="0"/>
              <w:rPr>
                <w:sz w:val="9"/>
                <w:szCs w:val="9"/>
                <w:color w:val="auto"/>
              </w:rPr>
            </w:pPr>
          </w:p>
        </w:tc>
        <w:tc>
          <w:tcPr>
            <w:tcW w:w="900" w:type="dxa"/>
            <w:vAlign w:val="bottom"/>
            <w:gridSpan w:val="2"/>
            <w:vMerge w:val="restart"/>
          </w:tcPr>
          <w:p>
            <w:pPr>
              <w:jc w:val="center"/>
              <w:ind w:right="160"/>
              <w:spacing w:after="0" w:line="138"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9"/>
                <w:szCs w:val="9"/>
                <w:color w:val="auto"/>
              </w:rPr>
            </w:pPr>
          </w:p>
        </w:tc>
        <w:tc>
          <w:tcPr>
            <w:tcW w:w="840" w:type="dxa"/>
            <w:vAlign w:val="bottom"/>
            <w:vMerge w:val="restart"/>
          </w:tcPr>
          <w:p>
            <w:pPr>
              <w:jc w:val="center"/>
              <w:ind w:right="16"/>
              <w:spacing w:after="0" w:line="138" w:lineRule="exact"/>
              <w:rPr>
                <w:sz w:val="20"/>
                <w:szCs w:val="20"/>
                <w:color w:val="auto"/>
              </w:rPr>
            </w:pPr>
            <w:r>
              <w:rPr>
                <w:rFonts w:ascii="Times New Roman" w:cs="Times New Roman" w:eastAsia="Times New Roman" w:hAnsi="Times New Roman"/>
                <w:sz w:val="13"/>
                <w:szCs w:val="13"/>
                <w:color w:val="auto"/>
                <w:w w:val="99"/>
              </w:rPr>
              <w:t>Stockholders’</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Amount</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Adjustment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Deficit</w:t>
            </w:r>
          </w:p>
        </w:tc>
        <w:tc>
          <w:tcPr>
            <w:tcW w:w="80" w:type="dxa"/>
            <w:vAlign w:val="bottom"/>
          </w:tcPr>
          <w:p>
            <w:pPr>
              <w:spacing w:after="0"/>
              <w:rPr>
                <w:sz w:val="14"/>
                <w:szCs w:val="14"/>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9"/>
              </w:rPr>
              <w:t>Deficit</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Balance at December 31,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9,919,716</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1,019,460</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949,001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(1,063,513)</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w:t>
            </w:r>
          </w:p>
        </w:tc>
        <w:tc>
          <w:tcPr>
            <w:tcW w:w="0" w:type="dxa"/>
            <w:vAlign w:val="bottom"/>
          </w:tcPr>
          <w:p>
            <w:pPr>
              <w:spacing w:after="0"/>
              <w:rPr>
                <w:sz w:val="1"/>
                <w:szCs w:val="1"/>
                <w:color w:val="auto"/>
              </w:rPr>
            </w:pPr>
          </w:p>
        </w:tc>
      </w:tr>
      <w:tr>
        <w:trPr>
          <w:trHeight w:val="167"/>
        </w:trPr>
        <w:tc>
          <w:tcPr>
            <w:tcW w:w="3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Exercise of common stock options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154,062</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exchangeable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306,478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(306,478)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28,494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28,494</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Components of comprehensive loss: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(295,668)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(295,668)</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Change in cumulative translation adjustment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Balance at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10,380,725</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712,982</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977,503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(1,359,181)</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(376,701)</w:t>
            </w:r>
          </w:p>
        </w:tc>
        <w:tc>
          <w:tcPr>
            <w:tcW w:w="0" w:type="dxa"/>
            <w:vAlign w:val="bottom"/>
          </w:tcPr>
          <w:p>
            <w:pPr>
              <w:spacing w:after="0"/>
              <w:rPr>
                <w:sz w:val="1"/>
                <w:szCs w:val="1"/>
                <w:color w:val="auto"/>
              </w:rPr>
            </w:pPr>
          </w:p>
        </w:tc>
      </w:tr>
      <w:tr>
        <w:trPr>
          <w:trHeight w:val="167"/>
        </w:trPr>
        <w:tc>
          <w:tcPr>
            <w:tcW w:w="3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Vesting of restricted stock units, net of shares withheld for taxes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25,906</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exchangeable stock</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161,910</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(161,910)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delayed draw warrants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accretion to redemption value</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(4,833)</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Paid-in-kind dividend on preferred stock</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(5,051)</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issuance for exercise of warrants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473,458</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8,005</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Components of comprehensive loss:</w:t>
            </w: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(224,087)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(224,087)</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cumulative translation adjustment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0" w:type="dxa"/>
            <w:vAlign w:val="bottom"/>
          </w:tcPr>
          <w:p>
            <w:pPr>
              <w:spacing w:after="0"/>
              <w:rPr>
                <w:sz w:val="1"/>
                <w:szCs w:val="1"/>
                <w:color w:val="auto"/>
              </w:rPr>
            </w:pPr>
          </w:p>
        </w:tc>
      </w:tr>
      <w:tr>
        <w:trPr>
          <w:trHeight w:val="167"/>
        </w:trPr>
        <w:tc>
          <w:tcPr>
            <w:tcW w:w="3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at December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11,041,999</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551,072</w:t>
            </w: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977,112</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7,360</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(1,583,268)</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(598,795)</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8"/>
              </w:rPr>
              <w:t>For the years ended December 31,</w:t>
            </w:r>
          </w:p>
        </w:tc>
        <w:tc>
          <w:tcPr>
            <w:tcW w:w="1180" w:type="dxa"/>
            <w:vAlign w:val="bottom"/>
          </w:tcPr>
          <w:p>
            <w:pPr>
              <w:spacing w:after="0"/>
              <w:rPr>
                <w:sz w:val="14"/>
                <w:szCs w:val="14"/>
                <w:color w:val="auto"/>
              </w:rPr>
            </w:pPr>
          </w:p>
        </w:tc>
      </w:tr>
      <w:tr>
        <w:trPr>
          <w:trHeight w:val="26"/>
        </w:trPr>
        <w:tc>
          <w:tcPr>
            <w:tcW w:w="7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7"/>
        </w:trPr>
        <w:tc>
          <w:tcPr>
            <w:tcW w:w="70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9"/>
              </w:rPr>
              <w:t>2023</w:t>
            </w:r>
          </w:p>
        </w:tc>
      </w:tr>
      <w:tr>
        <w:trPr>
          <w:trHeight w:val="26"/>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(224,087)</w:t>
            </w:r>
          </w:p>
        </w:tc>
        <w:tc>
          <w:tcPr>
            <w:tcW w:w="100" w:type="dxa"/>
            <w:vAlign w:val="bottom"/>
          </w:tcPr>
          <w:p>
            <w:pPr>
              <w:spacing w:after="0"/>
              <w:rPr>
                <w:sz w:val="15"/>
                <w:szCs w:val="15"/>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(295,668)</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22,147</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8,005</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28,494</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operating lease ROU assets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171,078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194,863</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Impairment losses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13,164</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59,165</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Lease adjustment gains, net</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(93,175)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(10,145)</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Credit loss expense</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9,170</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loss on foreign exchange</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(5,691)</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Capitalization of paid-in-kind interest on long-term debt</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29,383</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26,934</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 in fair value of SPAC Warrants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 in fair value of Earn Out Liability</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 in fair value of forward contracts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preferred stock issuance</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83,812</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operating activities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76"/>
        </w:trPr>
        <w:tc>
          <w:tcPr>
            <w:tcW w:w="70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Accounts receivable</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Prepaid expenses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r>
      <w:tr>
        <w:trPr>
          <w:trHeight w:val="176"/>
        </w:trPr>
        <w:tc>
          <w:tcPr>
            <w:tcW w:w="70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Accounts payable</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r>
      <w:tr>
        <w:trPr>
          <w:trHeight w:val="176"/>
        </w:trPr>
        <w:tc>
          <w:tcPr>
            <w:tcW w:w="70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Accrued liabilities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3,839</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Taxes payable</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r>
      <w:tr>
        <w:trPr>
          <w:trHeight w:val="176"/>
        </w:trPr>
        <w:tc>
          <w:tcPr>
            <w:tcW w:w="70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Deferred revenue</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20,068</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Operating lease ROU assets and operating lease liabilities, net</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(186,750)</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(162,327)</w:t>
            </w:r>
          </w:p>
        </w:tc>
      </w:tr>
      <w:tr>
        <w:trPr>
          <w:trHeight w:val="176"/>
        </w:trPr>
        <w:tc>
          <w:tcPr>
            <w:tcW w:w="70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Other current and non-current liabilities</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26"/>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7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(129,222)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(110,904)</w:t>
            </w:r>
          </w:p>
        </w:tc>
      </w:tr>
      <w:tr>
        <w:trPr>
          <w:trHeight w:val="156"/>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(10,637)</w:t>
            </w: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on the disposition of property and equipment</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of Key Money Investment</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Capitalization of internal-use software</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w:t>
            </w:r>
          </w:p>
        </w:tc>
      </w:tr>
      <w:tr>
        <w:trPr>
          <w:trHeight w:val="26"/>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7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5,729</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(12,362)</w:t>
            </w:r>
          </w:p>
        </w:tc>
      </w:tr>
      <w:tr>
        <w:trPr>
          <w:trHeight w:val="156"/>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debt and related fees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(35,240)</w:t>
            </w: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issuance of debt</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issuance costs</w:t>
            </w:r>
          </w:p>
        </w:tc>
        <w:tc>
          <w:tcPr>
            <w:tcW w:w="1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preferred stock issuance</w:t>
            </w:r>
          </w:p>
        </w:tc>
        <w:tc>
          <w:tcPr>
            <w:tcW w:w="1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 and common stock warrants</w:t>
            </w:r>
          </w:p>
        </w:tc>
        <w:tc>
          <w:tcPr>
            <w:tcW w:w="1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7"/>
        </w:trPr>
        <w:tc>
          <w:tcPr>
            <w:tcW w:w="70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59,851</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(32,232)</w:t>
            </w:r>
          </w:p>
        </w:tc>
      </w:tr>
      <w:tr>
        <w:trPr>
          <w:trHeight w:val="26"/>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Effects of foreign exchange on cash</w:t>
            </w:r>
          </w:p>
        </w:tc>
        <w:tc>
          <w:tcPr>
            <w:tcW w:w="1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w:t>
            </w:r>
          </w:p>
        </w:tc>
      </w:tr>
      <w:tr>
        <w:trPr>
          <w:trHeight w:val="167"/>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1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(64,443)</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(152,689)</w:t>
            </w:r>
          </w:p>
        </w:tc>
      </w:tr>
      <w:tr>
        <w:trPr>
          <w:trHeight w:val="26"/>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1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136,497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289,186</w:t>
            </w: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120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72,054</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136,497</w:t>
            </w:r>
          </w:p>
        </w:tc>
      </w:tr>
      <w:tr>
        <w:trPr>
          <w:trHeight w:val="20"/>
        </w:trPr>
        <w:tc>
          <w:tcPr>
            <w:tcW w:w="7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SONDER HOLDINGS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Sonder Holdings Inc., together with its wholly owned subsidiaries (collectively, the “Company,” “we,” “us,” or “our”), provides short and long-term accommodations to travelers in various cities across North America, Europe, and the Middle East. We are a leading global brand of premium, design-forward apartments and intimate boutique hotels serving the modern traveler. Launched in 2014, Sonder offers inspiring, thoughtfully designed accommodations and innovative, tech-enabled service combined into one seamless experience.</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18, 2022, the Company consummated the previously announced business combination by and among Gores Metropoulos II, Inc. (“GMII”), two subsidiaries of GMII, and Sonder Operating Inc., a Delaware corporation formerly known as Sonder Holdings Inc. (“Legacy Sonder”) (the “Business Combination”).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Financial Statement Presentation and Principles of Consolidation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conformity with accounting principles generally accepted in the United States of America (“GAAP”, “U.S. GAAP”, or “generally accepted accounting principles”). The consolidated financial statements present the results of operations, financial position, and cash flows of Sonder Holdings Inc., its wholly owned subsidiaries, and one variable interest entity (“VIE”) for which it is the primary beneficiary in accordance with consolidation accounting guidance. All intercompany balances and transactions have been eliminated in consolidation.</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Company accounts for its VIE in accordance with ASC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xml:space="preserve"> and evaluates its ownership, contractual, and other interests in entities to assess whether it has a variable interest in entities in which it has a financial relationship and, if so, whether or not those entities are VIEs. For an entity to qualify as a VIE, ASC 810 requires the Company to determine if it is the primary beneficiary of the VIE, and, if so, to consolidate such entity into its consolidated financial statements. If the Company determines that it is not the primary beneficiary of the VIE, the ASC 810 requires the Company to account for the investment or other variable interest in a VIE in accordance with applicable U.S. GAAP. The Company consolidates its VIE in which it holds a controlling financial interest, and is therefore deemed the primary beneficiary. Periodically, the Company reevaluates its ownership, contractual, and other interests in entities to determine whether any changes in its interest or relationship with an entity impacts the determination of whether it is still the primary beneficiary of such entity. As of December 31, 2024 and 2023, the Company’s consolidated VIE was not material to the consolidated financial statements.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JOBS Act, and as a “smaller reporting company” as defined in Rule 12b-2 under the Exchange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Notice of Delisting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24, 2025, the Company received a notice (the “10-K Notice”) from Nasdaq notifying the Company that, because the Company is delinquent in filing the 2024 Form 10-K, the Company no longer complies with Nasdaq Listing Rule 5250(c)(1) (the “Listing Rule”), which requires companies with securities listed on Nasdaq to timely file all required periodic reports with the SEC. On May 23, 2025, the Company received a notice (the “Q1 10-Q Notice” and together with the 10-K Notice, the “Notices”) from Nasdaq notifying the Company that, because the Company is delinquent in filing the Quarterly Report on Form 10-Q for the quarterly period ended March 31, 2025, the Company continues to not comply with the Listing Rule. The Notices have no immediate effect on the listing or trading of the Company’s common stock or Public Warrants on the Nasdaq Global Select Market.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accordance with Nasdaq’s listing rules, the Company has 60 calendar days after the 10-K Notice to submit a plan of compliance (the “Plan”) to Nasdaq demonstrating the Company’s ability to regain compliance with the Listing Rule and Nasdaq has the discretion to grant the Company up to 180 calendar days from the due date of the 2024 Form 10-K, or October 13, 2025, to regain compliance. The filing of this Annual Report on Form 10-K cures the filing deficiency described in the 10-K Notice and the Company submitted the Plan on June 23,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accompanying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Although the Company continues to pursue a strategy to realize improved operations, including anticipated improvements from integration through the Marriott Agreement, the timing of realization cannot be guaranteed to ensure liquidity is available when needed to meet the Company’s obligations. As a result of these considerations, the Company’s liquidity may be insufficient to meet its obligations for at least one year from the date of issuance of these financial statements, which raises substantial doubt about the Company’s ability to continue as a going concern.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plans to address the substantial doubt about the Company’s ability to continue as a going concern, as described above, include the following actions:</w:t>
      </w:r>
    </w:p>
    <w:p>
      <w:pPr>
        <w:spacing w:after="0" w:line="200"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 financial advisor to assist in identifying and securing strategic alternatives and financing arrangements,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focus on identifying and executing cost optimization initiatives;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execute our portfolio optimization program to mitigate losses related to certain underperforming properties and to assess the Company’s portfolio of rents relative to current operations and existing market rents; and</w:t>
      </w: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its financial performance through the potential to increase revenue by integrating with Marriott’s commercial engine and deliver costs savings.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it is not exposed to any significant risks on its cash and cash equivalent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 and expense during the reporting periods. Examples of management’s estimates and assumptions include, but are not limited to, the fair value of share-based awards, estimated useful life of long-lived assets, bad-debt allowances, valuation of intellectual property and intangible assets, contingent liabilities, valuation allowance for deferred tax assets, ROU asset impairment valuation of the preferred stock issuance and valuation of non-routine complex transactions, such as recognition of the Earn Out Liability, SPAC Warrants (each as defined below) and forward contracts, among others. These estimates are based on information available as of the date of the consolidated financial statements; therefore, actual results could differ from those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Information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 operating segment is defined as a component of an entity that: (i) engages in business activities from which it may earn revenues and incur expenses, (ii) is regularly reviewed by the Chief Operating Decision Maker (“CODM”) for performance assessment and resource allocation decisions, and (iii) has discrete financial information available. The Company’s CODM is its Chief Executive Officer.</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one operating and reportable segment, as the CODM reviews financial information presented on a consolidated basis for purposes of performance assessment and resource allocation.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key measure of segment profit or loss utilized by the CODM to assess performance of and allocate resources to the Company’s operating segment is consolidated net loss. Net loss is used in monitoring budget versus actual results. This measure is presented on the consolidated statements of operations and comprehensive loss.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Significant segment expenses included in net loss include cost of revenue, operations and support, general and administrative, research and development, sales and marketing and interest expense, net, which are presented on the consolidated statements of operations and comprehensive loss. The measure of segment assets is reported on the consolidated balance sheet as total consolidated assets.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Long-lived assets that are held and used by the Company are reviewed for impairment when events or changes in circumstances indicate that the carrying amount of the asset may not be recoverable.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impairments to ROU assets, leasehold improvements, or other assets as a result of a sublease, abandonment, or other similar factor are recorded as an operating expense. Similar to other long-lived assets, the Company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and Deferred Revenue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generates revenues primarily by providing short-term or month-to-month accommodations to its guests. As a result, the Company’s performance obligation is to facilitate a stay, which is satisfied over time as the stay occurs. Revenues are recognized over time for guest stays, commencing upon guest check-in and ending at guest check-out, net of discounts and refunds. For short-term accommodations, the Company's guests agree to its Terms of Service (“ToS”) and make payments for their accommodations at the time of reservation. For month-to-month accommodations, the Company’s guests agree to its ToS and make payments for their accommodations in accordance with the related contracts. For accommodations booked through OTAs, payments for accommodations are made by OTAs to the Company based on the ToS that the Company has with OTAs.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Guests generally have the right to cancel a stay prior to check-in, and are entitled to refunds in accordance with the agreed-upon ToS. Payments received from guests prior to check-in are recognized as deferred revenue, a contract liability, on the consolidated balance sheet. Deferred revenue is reduced over the period in which a guest completes a stay and is recognized as revenue. Substantially all of the deferred revenue balances at the end of each fiscal year are expected to be recognized as revenue in the subsequent year. Payments received after guest check-in are primarily from OTAs that guests use to book accommodations and are recognized as accounts receivable, net of allowance, after guest check-out. The Company is required to collect certain taxes and fees from guests on behalf of governmental agencies and remit these to the applicable governmental agencies on a periodic basis. The Company recognizes revenues net of such taxes and fees collected.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determines whether an arrangement is or contains a lease at inception. The lease term is also determined at lease inception and generally begins on the date the Company takes possession of the full or partial portions of leased premises. Operating lease ROU assets and liabilities are recognized at the commencement date based on the present value of lease payments over the lease term. Operating lease liabilities represent the present value of lease payments not yet paid. Operating lease ROU assets represent the Company’s right to use an underlying asset and are based upon the operating lease liabilities adjusted for prepayments or accrued lease payments, initial direct costs, lease incentives, and impairment of operating lease assets. As most of the Company’s leases do not provide an implicit rate, the Company uses its incremental borrowing rate based on the information available at commencement date in determining the present value of lease payments. The determination of our incremental borrowing rate requires estimates surrounding our credit rating, credit spread, and the impact of collateral. The Company has certain lease agreements that contain lease and non-lease components, which are accounted for as a single lease component.</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leases often contain rent escalations over the lease term. The Company recognizes expense for fixed, scheduled escalations on a straight-line basis over the lease term. The Company recognizes variable expense, accounted for as discussed below, for escalations associated with a change in an index or rate. Additionally, tenant incentives, primarily used to fund leasehold improvements, are recognized when earned and reduce the Company’s ROU asset related to the lease. These are amortized through the ROU asset as reductions of expense over the lease term.</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leases contain variable costs such as real estate taxes, insurance, utilities, and certain common area maintenance costs in addition to minimum rent payments. These amounts are expensed as incurred and are included within cost of revenue if paid directly to the lessor or in operations and support if paid to the authority assessing the cost for the properties used for guests and within general and administrative for warehouses in the accompanying consolidated statements of operations and comprehensive loss.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leases with an initial non-cancelable lease term of 12 months or less and no option to purchase, the Company elected not to recognize the lease on its consolidated balance sheets and instead recognize rent payments on a straight-line basis over the lease term within operations and support on its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Restricted Cash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90 days or less when purchased to be cash. Cash is held in checking and interest-bearing accounts, and is recorded at cost, which approximates fair value. Restricted cash consists of cash collateral for standby letters of credit with a bank that were issued to the Company’s real estate owners and for collateral required by the bank to support the Company's corporate credit card programs.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39"/>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shows supplemental cash flow information (in thousands):</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3"/>
        </w:trPr>
        <w:tc>
          <w:tcPr>
            <w:tcW w:w="10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1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7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paid for income taxes during the year</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32"/>
        </w:trPr>
        <w:tc>
          <w:tcPr>
            <w:tcW w:w="7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7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interest during the year</w:t>
            </w:r>
          </w:p>
        </w:tc>
        <w:tc>
          <w:tcPr>
            <w:tcW w:w="1320" w:type="dxa"/>
            <w:vAlign w:val="bottom"/>
            <w:tcBorders>
              <w:bottom w:val="single" w:sz="8" w:color="CCEEFF"/>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19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2"/>
        </w:trPr>
        <w:tc>
          <w:tcPr>
            <w:tcW w:w="7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ROU assets obtained in exchange for operating lease liabilities, net of adjustments</w:t>
            </w:r>
            <w:r>
              <w:rPr>
                <w:rFonts w:ascii="Times New Roman" w:cs="Times New Roman" w:eastAsia="Times New Roman" w:hAnsi="Times New Roman"/>
                <w:sz w:val="18"/>
                <w:szCs w:val="18"/>
                <w:color w:val="auto"/>
                <w:vertAlign w:val="superscript"/>
              </w:rPr>
              <w:t>(1)</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205,285</w:t>
            </w:r>
          </w:p>
        </w:tc>
      </w:tr>
      <w:tr>
        <w:trPr>
          <w:trHeight w:val="19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restricted cash:</w:t>
            </w: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2"/>
        </w:trPr>
        <w:tc>
          <w:tcPr>
            <w:tcW w:w="7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7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320" w:type="dxa"/>
            <w:vAlign w:val="bottom"/>
            <w:tcBorders>
              <w:bottom w:val="single" w:sz="8" w:color="CCEEFF"/>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20,786</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95,763</w:t>
            </w:r>
          </w:p>
        </w:tc>
      </w:tr>
      <w:tr>
        <w:trPr>
          <w:trHeight w:val="191"/>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40,734</w:t>
            </w:r>
          </w:p>
        </w:tc>
      </w:tr>
      <w:tr>
        <w:trPr>
          <w:trHeight w:val="32"/>
        </w:trPr>
        <w:tc>
          <w:tcPr>
            <w:tcW w:w="71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2"/>
          <w:szCs w:val="12"/>
          <w:color w:val="auto"/>
        </w:rPr>
        <w:t>Operating ROU assets declines are primarily due to the impact of lease terminations related to the portfolio optimization program. These lease terminations primarily occurred during the first half of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 applies fair value accounting for certain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U.S. GAAP establishes a hierarchical disclosure framework which prioritizes and ranks the level of market price observability used in measuring financial instruments at fair value. Refer to Note 5,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Measurement and Financial Instruments</w:t>
      </w:r>
      <w:r>
        <w:rPr>
          <w:rFonts w:ascii="Times New Roman" w:cs="Times New Roman" w:eastAsia="Times New Roman" w:hAnsi="Times New Roman"/>
          <w:sz w:val="14"/>
          <w:szCs w:val="14"/>
          <w:color w:val="auto"/>
        </w:rPr>
        <w:t>,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 of Allowance for Expected Credit Losses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accounts receivable are recorded for guest stays primarily from bookings made through OTAs or through the Company’s sales personnel where payments are made to the Company after guest check-outs. Trade accounts receivable are recorded at the invoiced amount and are non-interest bearing.</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maintains an allowance which reflects its best estimate of its exposure to balances deemed to be uncollectible. Accounts receivable are written off as a decrease to the allowance when all collection efforts have been exhausted and an account is deemed uncollectible. Recoveries of receivables previously written off are recorded as a reduction of bad debt expense when received.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and amortization. Depreciation and amortization are calculated using the straight-line method over the estimated useful lives of the assets. Estimated useful lives of the Company’s assets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Classification:</w:t>
            </w:r>
          </w:p>
        </w:tc>
        <w:tc>
          <w:tcPr>
            <w:tcW w:w="80" w:type="dxa"/>
            <w:vAlign w:val="bottom"/>
            <w:shd w:val="clear" w:color="auto" w:fill="CCEEFF"/>
          </w:tcPr>
          <w:p>
            <w:pPr>
              <w:spacing w:after="0"/>
              <w:rPr>
                <w:sz w:val="18"/>
                <w:szCs w:val="18"/>
                <w:color w:val="auto"/>
              </w:rPr>
            </w:pPr>
          </w:p>
        </w:tc>
        <w:tc>
          <w:tcPr>
            <w:tcW w:w="6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Estimated Useful Life</w:t>
            </w:r>
          </w:p>
        </w:tc>
      </w:tr>
      <w:tr>
        <w:trPr>
          <w:trHeight w:val="191"/>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6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years</w:t>
            </w:r>
          </w:p>
        </w:tc>
      </w:tr>
      <w:tr>
        <w:trPr>
          <w:trHeight w:val="32"/>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03"/>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Computers, software, and office equipment</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years</w:t>
            </w:r>
          </w:p>
        </w:tc>
      </w:tr>
      <w:tr>
        <w:trPr>
          <w:trHeight w:val="191"/>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6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years</w:t>
            </w:r>
          </w:p>
        </w:tc>
      </w:tr>
      <w:tr>
        <w:trPr>
          <w:trHeight w:val="32"/>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19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Shorter of remaining lease term or the estimated useful life of 3 years</w:t>
            </w:r>
          </w:p>
        </w:tc>
      </w:tr>
      <w:tr>
        <w:trPr>
          <w:trHeight w:val="32"/>
        </w:trPr>
        <w:tc>
          <w:tcPr>
            <w:tcW w:w="4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are generally classified within the corresponding operating expenses line items on the Company’s consolidated statements of operations and comprehensive loss. The cost of maintenance and repairs is expensed as incurred. When assets are retired or otherwise disposed of, the cost and related accumulated depreciation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are removed from their respective accounts, and any gain or loss on such sale or disposal is reflected on the consolidated statement of operations and comprehensive loss.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capitalizes certain costs associated with software developed or obtained for internal use, which includes its booking and pricing platform, mobile apps, and website development. The Company capitalizes costs when preliminary software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 Costs incurred prior to meeting these criteria, together with costs incurred for training and maintenance, are expensed as incurred. Costs incurred for software enhancements that are expected to result in additional material functionality are capitalized and amortized over the estimated useful life of the enhancements.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reporting currency is the U.S. dollar. Functional currency is determined for each of the Company's foreign subsidiaries by reviewing its operations and currencies used in its primary economic environments. Assets and liabilities for foreign subsidiaries with functional currency other than the U.S. dollar are translated into U.S. dollars at the rate of exchange existing at the balance sheet date. Statements of operations and comprehensive loss amounts are translated at average exchange rates for the period. Translation gains and losses are recorded in cumulative translation adjustment as a component of stockholders’ deficit in the consolidated balance sheets.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Remeasurement gains and losses are included in other expense (income), net in the consolidated statements of operations and comprehensive loss. Monetary assets and liabilities are remeasured at the exchange rate on the balance sheet date, and nonmonetary assets and liabilities are measured at historical exchange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cost of revenue (excluding depreciation and amortization) primarily consists of fixed and variable lease costs to real estate owners for Live Units, cleaning costs, and payment processing charges.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Operations and Support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Operations and support expenses are related to guest-facing functions and variable expenses associated with property-level operations, such as customer service agents and hospitality agents, depreciation of property and equipment, utilities, costs to open new properties, and the cost of guest-room consumable items and low-cost furnishings. These costs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for administrative functions, such as legal, finance, accounting, public policy, and human resources. It also includes certain professional services fees, technology expenses, bad debt expense, general corporate and director and officer insurance, and other corporate-level expenses the Company incurs to manage and support its operations. These costs are expensed as incurred.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primarily consist of personnel-related expenses and an allocation of facility expenses incurred in connection with the development of the Company’s existing and new services. These costs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 expenses primarily consist of advertising expenses, personnel-related expenses for sales, marketing, and branding, as well as service charges for bookings made through OTAs.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costs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Expenses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expenses, a majority of which consist of internet and social media marketing, were $18.8 million and $15.4 million for the years ended December 31, 2024 and 2023, respectively. These costs are expensed as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 Related to Stock Options and Restricted Stock Units (“RSUs”)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stock-based compensation expense related to stock options and RSUs in the consolidated statements of operations and comprehensive loss on a straight-line basis over the requisite service period, which is generally four years. The compensation expense related to stock options is based on the fair value of stock options using the Black-Scholes option-pricing model on the grant date, which requires the use of highly subjective and complex assumptions, including the value of the underlying stock on the date of grant for options granted before the Company was publicly traded, the expected term of the option, the price volatility of the underlying stock, expected dividend yield, and risk-free interest rate. The compensation expense related to RSUs is based on the closing fair market value of our common stock.</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the expected term for options based on its historical pattern of option exercise behavior and the period of time options are expected to be outstanding. The contractual term of the Company's stock options is generally ten years. The Company estimates the volatility of its common stock on the date of grant based on the average historical stock price volatility of comparable publicly traded companies. Dividend yields have been, and are expected to be, zero given the Company's dividend payment history and plans. The risk-free interest rate is based on the yield curve of a zero-coupon U.S. Treasury bond on the grant date with a maturity equal to the expected term of the stock option award. The Company has elected to account for forfeitures of stock-based compensation awards as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 Related to Performance and Market-Based Awards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recognizes the compensation expense related to performance and market-based awards based on its estimate of the fair value of the award using a Monte-Carlo simulation on the grant date. The Monte-Carlo simulation utilizes multiple input variables to estimate the probability that performance conditions will be achieved. These variables include the Company’s expected stock price volatility over the expected term of the award, actual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 The Company recognizes compensation expense for its market-based awards over the requisite service period using the accelerated attribution method.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Charges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Costs and liabilities associated with management-approved restructuring activities are recognized when they are incurred. One-time employee termination costs are recognized at the time of communication to employees, unless future service is required, in which case the costs are recognized ratably over the future service period. Ongoing employee termination benefits are recognized as a liability when it is probable that a liability exists and the amount is reasonably estimable. Restructuring charges are recognized in the restructuring and other charges line item of the consolidated statements of operations and comprehensive loss, and related liabilities are recorded within accrued liabilities and other liabilities on the consolidated balance sheets. The Company periodically evaluates and, if necessary, adjusts its estimates based on currently available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statement of operations and comprehensive loss as of the enactment date. A valuation allowance is recorded for deferred tax assets if it is more likely than not that some portion or all of the deferred tax assets will not be realized. As of December 31, 2024, with the exception of Europe and Middle East and Canada, and in December 31, 2023, with the exception of Canada, the Company has recorded a full valuation allowance against its deferred tax assets due to its history of losses.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interest and penalties, if any, related to income tax matters as a component of income tax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Taxes payable on the Company’s consolidated balances sheets at December 31, 2024 and 2023 includes both income taxes payable and indirect taxes payable.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net loss per share is computed by dividing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Loss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consists of net loss and other comprehensive income (loss). Other comprehensive income (loss) primarily consists of foreign currency translation adjustments related to consolidation of foreign entities. Other comprehensive loss is recorded as a component of stockholders’ deficit and is excluded from net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Contingencies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legal proceedings and claims that arise in the ordinary course of business. The Company accrues for losses associated with legal claims when such losses are probable and can be reasonably estimated. These accruals are adjusted as additional information becomes available or circumstances change. Related legal fees are expensed as incurred.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Recently Issued Accounting Standards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following reflect recent accounting standards that have been adopted or are pending adoption by the Company. As discussed in Note 1,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Among other new disclosure requirements, ASU 2023-07 requires companies to disclose significant segment expenses that are regularly provided to the CODM. ASU 2023-07 is effective for annual periods beginning on January 1, 2024 and interim periods beginning on January 1, 2025. ASU 2023-07 must be applied retrospectively to all prior periods presented in the financial statements. The Company adopted this guidance for the year ended December 31, 2024 on a retrospective basis and included enhanced disclosures in Note 1,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under the subheading “Segment Information”.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 Not Yet Adopted</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evaluating the disclosure impact of ASU 2023-09 and its impact on the Company’s consolidated financial statements.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w:t>
      </w:r>
      <w:r>
        <w:rPr>
          <w:rFonts w:ascii="Times New Roman" w:cs="Times New Roman" w:eastAsia="Times New Roman" w:hAnsi="Times New Roman"/>
          <w:sz w:val="14"/>
          <w:szCs w:val="14"/>
          <w:color w:val="auto"/>
        </w:rPr>
        <w:t>. ASU 2024-03 requires companies to disclose additional information about specific expense categories in the notes to the financial statements. ASU 2024-03 will be effective for annual periods beginning January 1, 2026 and will be applied either prospectively to financial statements issued for reporting periods after the effective date of this update or retrospectively to any or all prior periods presented in the financial statements. Early adoption is permitted. The Company is evaluating the disclosure impact of ASU 2024-03 and its impact on the Company’s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generates revenues primarily by providing accommodations to its guests. Direct revenue is generated from stays booked through Sonder.com, the Sonder app, or directly through the Company's sales personnel. Indirect revenue is generated from stays booked through OTAs.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disaggregated between direct and indirect revenue is as follows (in thousands):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revenue</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284,709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4"/>
                <w:szCs w:val="14"/>
                <w:color w:val="auto"/>
              </w:rPr>
              <w:t>Indirect revenue</w:t>
            </w:r>
          </w:p>
        </w:tc>
        <w:tc>
          <w:tcPr>
            <w:tcW w:w="1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336,563</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319,143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494949"/>
            </w:tcBorders>
          </w:tcPr>
          <w:p>
            <w:pPr>
              <w:spacing w:after="0"/>
              <w:rPr>
                <w:sz w:val="2"/>
                <w:szCs w:val="2"/>
                <w:color w:val="auto"/>
              </w:rPr>
            </w:pPr>
          </w:p>
        </w:tc>
        <w:tc>
          <w:tcPr>
            <w:tcW w:w="780" w:type="dxa"/>
            <w:vAlign w:val="bottom"/>
            <w:tcBorders>
              <w:bottom w:val="single" w:sz="8" w:color="494949"/>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494949"/>
            </w:tcBorders>
          </w:tcPr>
          <w:p>
            <w:pPr>
              <w:spacing w:after="0"/>
              <w:rPr>
                <w:sz w:val="2"/>
                <w:szCs w:val="2"/>
                <w:color w:val="auto"/>
              </w:rPr>
            </w:pPr>
          </w:p>
        </w:tc>
        <w:tc>
          <w:tcPr>
            <w:tcW w:w="12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tcBorders>
              <w:bottom w:val="single" w:sz="8" w:color="494949"/>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49494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621,272</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494949"/>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494949"/>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Revenue by geographic area is determined based on the location where the guest stays and is as follows (in thousands):</w:t>
            </w:r>
          </w:p>
        </w:tc>
        <w:tc>
          <w:tcPr>
            <w:tcW w:w="1260" w:type="dxa"/>
            <w:vAlign w:val="bottom"/>
            <w:tcBorders>
              <w:bottom w:val="single" w:sz="8" w:color="494949"/>
            </w:tcBorders>
          </w:tcPr>
          <w:p>
            <w:pPr>
              <w:spacing w:after="0" w:line="20" w:lineRule="exact"/>
              <w:rPr>
                <w:sz w:val="1"/>
                <w:szCs w:val="1"/>
                <w:color w:val="auto"/>
              </w:rPr>
            </w:pPr>
          </w:p>
        </w:tc>
        <w:tc>
          <w:tcPr>
            <w:tcW w:w="780" w:type="dxa"/>
            <w:vAlign w:val="bottom"/>
            <w:tcBorders>
              <w:bottom w:val="single" w:sz="8" w:color="49494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1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1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United States</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367,759</w:t>
            </w:r>
          </w:p>
        </w:tc>
        <w:tc>
          <w:tcPr>
            <w:tcW w:w="80" w:type="dxa"/>
            <w:vAlign w:val="bottom"/>
          </w:tcPr>
          <w:p>
            <w:pPr>
              <w:spacing w:after="0"/>
              <w:rPr>
                <w:sz w:val="16"/>
                <w:szCs w:val="16"/>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370,825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Americas</w:t>
            </w:r>
            <w:r>
              <w:rPr>
                <w:rFonts w:ascii="Times New Roman" w:cs="Times New Roman" w:eastAsia="Times New Roman" w:hAnsi="Times New Roman"/>
                <w:sz w:val="18"/>
                <w:szCs w:val="18"/>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68,139</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Americas</w:t>
            </w:r>
          </w:p>
        </w:tc>
        <w:tc>
          <w:tcPr>
            <w:tcW w:w="1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435,898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430,986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 and Middle East:</w:t>
            </w:r>
          </w:p>
        </w:tc>
        <w:tc>
          <w:tcPr>
            <w:tcW w:w="1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Great Britain</w:t>
            </w:r>
          </w:p>
        </w:tc>
        <w:tc>
          <w:tcPr>
            <w:tcW w:w="1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41,928</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United Arab Emirates</w:t>
            </w:r>
          </w:p>
        </w:tc>
        <w:tc>
          <w:tcPr>
            <w:tcW w:w="1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64,581</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Mainland Europe</w:t>
            </w:r>
          </w:p>
        </w:tc>
        <w:tc>
          <w:tcPr>
            <w:tcW w:w="1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78,865</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Europe and Middle East</w:t>
            </w:r>
          </w:p>
        </w:tc>
        <w:tc>
          <w:tcPr>
            <w:tcW w:w="1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185,374</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tcBorders>
              <w:top w:val="single" w:sz="8" w:color="494949"/>
              <w:bottom w:val="single" w:sz="8" w:color="494949"/>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494949"/>
              <w:bottom w:val="single" w:sz="8" w:color="494949"/>
            </w:tcBorders>
          </w:tcPr>
          <w:p>
            <w:pPr>
              <w:jc w:val="right"/>
              <w:spacing w:after="0"/>
              <w:rPr>
                <w:sz w:val="20"/>
                <w:szCs w:val="20"/>
                <w:color w:val="auto"/>
              </w:rPr>
            </w:pPr>
            <w:r>
              <w:rPr>
                <w:rFonts w:ascii="Times New Roman" w:cs="Times New Roman" w:eastAsia="Times New Roman" w:hAnsi="Times New Roman"/>
                <w:sz w:val="14"/>
                <w:szCs w:val="14"/>
                <w:color w:val="auto"/>
              </w:rPr>
              <w:t>621,272</w:t>
            </w:r>
          </w:p>
        </w:tc>
        <w:tc>
          <w:tcPr>
            <w:tcW w:w="80" w:type="dxa"/>
            <w:vAlign w:val="bottom"/>
          </w:tcPr>
          <w:p>
            <w:pPr>
              <w:spacing w:after="0"/>
              <w:rPr>
                <w:sz w:val="18"/>
                <w:szCs w:val="18"/>
                <w:color w:val="auto"/>
              </w:rPr>
            </w:pPr>
          </w:p>
        </w:tc>
        <w:tc>
          <w:tcPr>
            <w:tcW w:w="800" w:type="dxa"/>
            <w:vAlign w:val="bottom"/>
            <w:tcBorders>
              <w:top w:val="single" w:sz="8" w:color="494949"/>
              <w:bottom w:val="single" w:sz="8" w:color="494949"/>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494949"/>
              <w:bottom w:val="single" w:sz="8" w:color="494949"/>
            </w:tcBorders>
          </w:tcPr>
          <w:p>
            <w:pPr>
              <w:jc w:val="right"/>
              <w:spacing w:after="0"/>
              <w:rPr>
                <w:sz w:val="20"/>
                <w:szCs w:val="20"/>
                <w:color w:val="auto"/>
              </w:rPr>
            </w:pPr>
            <w:r>
              <w:rPr>
                <w:rFonts w:ascii="Times New Roman" w:cs="Times New Roman" w:eastAsia="Times New Roman" w:hAnsi="Times New Roman"/>
                <w:sz w:val="14"/>
                <w:szCs w:val="14"/>
                <w:color w:val="auto"/>
              </w:rPr>
              <w:t>602,066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780" w:type="dxa"/>
            <w:vAlign w:val="bottom"/>
            <w:tcBorders>
              <w:bottom w:val="single" w:sz="8" w:color="49494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126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As of December 31, 2024 and 2023, Other Americas is comprised of Canada and Mexico.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guest represented over 10% of revenues for the years ended December 31, 2024 and 2023.</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Three OTAs each represented approximately 22%, 17% and 12% of the Company’s revenue for the year ended December 31, 2024 and three OTAs each represented approximately 23%, 14% 12% of the Company’s revenue for the year ended December 31,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No OTAs represented over 10% of the gross accounts receivable balance at December 31, 2024 and one OTA represented approximately 17%, of the gross accounts receivable balance at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the activity in the </w:t>
      </w:r>
      <w:r>
        <w:rPr>
          <w:rFonts w:ascii="Times New Roman" w:cs="Times New Roman" w:eastAsia="Times New Roman" w:hAnsi="Times New Roman"/>
          <w:sz w:val="12"/>
          <w:szCs w:val="12"/>
          <w:color w:val="auto"/>
        </w:rPr>
        <w:t>Company’s</w:t>
      </w:r>
      <w:r>
        <w:rPr>
          <w:rFonts w:ascii="Times New Roman" w:cs="Times New Roman" w:eastAsia="Times New Roman" w:hAnsi="Times New Roman"/>
          <w:sz w:val="14"/>
          <w:szCs w:val="14"/>
          <w:color w:val="auto"/>
        </w:rPr>
        <w:t xml:space="preserve"> allowance for expected credit losses balance (in thousands):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Additions</w:t>
      </w:r>
    </w:p>
    <w:p>
      <w:pPr>
        <w:spacing w:after="0" w:line="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Write-offs, net of recoveries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Balance Sheet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current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assets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Non-income-related tax assets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Deposits due from landlords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other current assets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non-current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 consists of the following (in thousands):</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Long-term deposits due from landlords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tax assets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Debt issuance costs on undrawn credit facilities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non-current assets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26543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223"/>
        </w:trPr>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8,788</w:t>
            </w:r>
          </w:p>
        </w:tc>
      </w:tr>
      <w:tr>
        <w:trPr>
          <w:trHeight w:val="223"/>
        </w:trPr>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w:t>
            </w:r>
          </w:p>
        </w:tc>
      </w:tr>
      <w:tr>
        <w:trPr>
          <w:trHeight w:val="32"/>
        </w:trPr>
        <w:tc>
          <w:tcPr>
            <w:tcW w:w="480" w:type="dxa"/>
            <w:vAlign w:val="bottom"/>
            <w:tcBorders>
              <w:bottom w:val="single" w:sz="8" w:color="6D6D6D"/>
            </w:tcBorders>
          </w:tcPr>
          <w:p>
            <w:pPr>
              <w:spacing w:after="0"/>
              <w:rPr>
                <w:sz w:val="2"/>
                <w:szCs w:val="2"/>
                <w:color w:val="auto"/>
              </w:rPr>
            </w:pPr>
          </w:p>
        </w:tc>
        <w:tc>
          <w:tcPr>
            <w:tcW w:w="1580" w:type="dxa"/>
            <w:vAlign w:val="bottom"/>
            <w:tcBorders>
              <w:bottom w:val="single" w:sz="8" w:color="6D6D6D"/>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6D6D6D"/>
            </w:tcBorders>
          </w:tcPr>
          <w:p>
            <w:pPr>
              <w:spacing w:after="0"/>
              <w:rPr>
                <w:sz w:val="2"/>
                <w:szCs w:val="2"/>
                <w:color w:val="auto"/>
              </w:rPr>
            </w:pPr>
          </w:p>
        </w:tc>
        <w:tc>
          <w:tcPr>
            <w:tcW w:w="1560" w:type="dxa"/>
            <w:vAlign w:val="bottom"/>
            <w:tcBorders>
              <w:bottom w:val="single" w:sz="8" w:color="6D6D6D"/>
            </w:tcBorders>
          </w:tcPr>
          <w:p>
            <w:pPr>
              <w:spacing w:after="0"/>
              <w:rPr>
                <w:sz w:val="2"/>
                <w:szCs w:val="2"/>
                <w:color w:val="auto"/>
              </w:rPr>
            </w:pPr>
          </w:p>
        </w:tc>
      </w:tr>
      <w:tr>
        <w:trPr>
          <w:trHeight w:val="181"/>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8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6,196</w:t>
            </w:r>
          </w:p>
        </w:tc>
      </w:tr>
      <w:tr>
        <w:trPr>
          <w:trHeight w:val="32"/>
        </w:trPr>
        <w:tc>
          <w:tcPr>
            <w:tcW w:w="480" w:type="dxa"/>
            <w:vAlign w:val="bottom"/>
            <w:tcBorders>
              <w:bottom w:val="single" w:sz="8" w:color="6D6D6D"/>
            </w:tcBorders>
          </w:tcPr>
          <w:p>
            <w:pPr>
              <w:spacing w:after="0"/>
              <w:rPr>
                <w:sz w:val="2"/>
                <w:szCs w:val="2"/>
                <w:color w:val="auto"/>
              </w:rPr>
            </w:pPr>
          </w:p>
        </w:tc>
        <w:tc>
          <w:tcPr>
            <w:tcW w:w="1580" w:type="dxa"/>
            <w:vAlign w:val="bottom"/>
            <w:tcBorders>
              <w:bottom w:val="single" w:sz="8" w:color="6D6D6D"/>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6D6D6D"/>
            </w:tcBorders>
          </w:tcPr>
          <w:p>
            <w:pPr>
              <w:spacing w:after="0"/>
              <w:rPr>
                <w:sz w:val="2"/>
                <w:szCs w:val="2"/>
                <w:color w:val="auto"/>
              </w:rPr>
            </w:pPr>
          </w:p>
        </w:tc>
        <w:tc>
          <w:tcPr>
            <w:tcW w:w="1560" w:type="dxa"/>
            <w:vAlign w:val="bottom"/>
            <w:tcBorders>
              <w:bottom w:val="single" w:sz="8" w:color="6D6D6D"/>
            </w:tcBorders>
          </w:tcPr>
          <w:p>
            <w:pPr>
              <w:spacing w:after="0"/>
              <w:rPr>
                <w:sz w:val="2"/>
                <w:szCs w:val="2"/>
                <w:color w:val="auto"/>
              </w:rPr>
            </w:pPr>
          </w:p>
        </w:tc>
      </w:tr>
      <w:tr>
        <w:trPr>
          <w:trHeight w:val="20"/>
        </w:trPr>
        <w:tc>
          <w:tcPr>
            <w:tcW w:w="480" w:type="dxa"/>
            <w:vAlign w:val="bottom"/>
            <w:tcBorders>
              <w:bottom w:val="single" w:sz="8" w:color="6D6D6D"/>
            </w:tcBorders>
          </w:tcPr>
          <w:p>
            <w:pPr>
              <w:spacing w:after="0" w:line="20" w:lineRule="exact"/>
              <w:rPr>
                <w:sz w:val="1"/>
                <w:szCs w:val="1"/>
                <w:color w:val="auto"/>
              </w:rPr>
            </w:pPr>
          </w:p>
        </w:tc>
        <w:tc>
          <w:tcPr>
            <w:tcW w:w="15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6D6D6D"/>
            </w:tcBorders>
          </w:tcPr>
          <w:p>
            <w:pPr>
              <w:spacing w:after="0" w:line="20" w:lineRule="exact"/>
              <w:rPr>
                <w:sz w:val="1"/>
                <w:szCs w:val="1"/>
                <w:color w:val="auto"/>
              </w:rPr>
            </w:pPr>
          </w:p>
        </w:tc>
        <w:tc>
          <w:tcPr>
            <w:tcW w:w="1560" w:type="dxa"/>
            <w:vAlign w:val="bottom"/>
            <w:tcBorders>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-605790</wp:posOffset>
            </wp:positionV>
            <wp:extent cx="7161530" cy="147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-316230</wp:posOffset>
            </wp:positionV>
            <wp:extent cx="7161530" cy="141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3108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3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w:t>
            </w:r>
          </w:p>
        </w:tc>
      </w:tr>
      <w:tr>
        <w:trPr>
          <w:trHeight w:val="223"/>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23"/>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32"/>
        </w:trPr>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r>
      <w:tr>
        <w:trPr>
          <w:trHeight w:val="181"/>
        </w:trPr>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11,345</w:t>
            </w:r>
          </w:p>
        </w:tc>
      </w:tr>
      <w:tr>
        <w:trPr>
          <w:trHeight w:val="32"/>
        </w:trPr>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r>
      <w:tr>
        <w:trPr>
          <w:trHeight w:val="20"/>
        </w:trPr>
        <w:tc>
          <w:tcPr>
            <w:tcW w:w="42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-605790</wp:posOffset>
            </wp:positionV>
            <wp:extent cx="7161530" cy="147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-316230</wp:posOffset>
            </wp:positionV>
            <wp:extent cx="7161530" cy="141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3108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36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12,667</w:t>
            </w:r>
          </w:p>
        </w:tc>
      </w:tr>
      <w:tr>
        <w:trPr>
          <w:trHeight w:val="223"/>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r>
      <w:tr>
        <w:trPr>
          <w:trHeight w:val="223"/>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223"/>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32"/>
        </w:trPr>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r>
      <w:tr>
        <w:trPr>
          <w:trHeight w:val="181"/>
        </w:trPr>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15,150</w:t>
            </w:r>
          </w:p>
        </w:tc>
      </w:tr>
      <w:tr>
        <w:trPr>
          <w:trHeight w:val="32"/>
        </w:trPr>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6D6D6D"/>
            </w:tcBorders>
          </w:tcPr>
          <w:p>
            <w:pPr>
              <w:spacing w:after="0"/>
              <w:rPr>
                <w:sz w:val="2"/>
                <w:szCs w:val="2"/>
                <w:color w:val="auto"/>
              </w:rPr>
            </w:pPr>
          </w:p>
        </w:tc>
        <w:tc>
          <w:tcPr>
            <w:tcW w:w="1360" w:type="dxa"/>
            <w:vAlign w:val="bottom"/>
            <w:tcBorders>
              <w:bottom w:val="single" w:sz="8" w:color="6D6D6D"/>
            </w:tcBorders>
          </w:tcPr>
          <w:p>
            <w:pPr>
              <w:spacing w:after="0"/>
              <w:rPr>
                <w:sz w:val="2"/>
                <w:szCs w:val="2"/>
                <w:color w:val="auto"/>
              </w:rPr>
            </w:pPr>
          </w:p>
        </w:tc>
      </w:tr>
      <w:tr>
        <w:trPr>
          <w:trHeight w:val="20"/>
        </w:trPr>
        <w:tc>
          <w:tcPr>
            <w:tcW w:w="42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-747395</wp:posOffset>
            </wp:positionV>
            <wp:extent cx="7161530" cy="147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4795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-457200</wp:posOffset>
            </wp:positionV>
            <wp:extent cx="7161530" cy="141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-174625</wp:posOffset>
            </wp:positionV>
            <wp:extent cx="7161530" cy="161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80"/>
          </w:cols>
          <w:pgMar w:left="300" w:top="125" w:right="31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39"/>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Accrued liabilities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1"/>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consists of the following (in thousands):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10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December 31,</w:t>
            </w:r>
          </w:p>
        </w:tc>
        <w:tc>
          <w:tcPr>
            <w:tcW w:w="1240" w:type="dxa"/>
            <w:vAlign w:val="bottom"/>
          </w:tcPr>
          <w:p>
            <w:pPr>
              <w:spacing w:after="0"/>
              <w:rPr>
                <w:sz w:val="18"/>
                <w:szCs w:val="18"/>
                <w:color w:val="auto"/>
              </w:rPr>
            </w:pPr>
          </w:p>
        </w:tc>
      </w:tr>
      <w:tr>
        <w:trPr>
          <w:trHeight w:val="32"/>
        </w:trPr>
        <w:tc>
          <w:tcPr>
            <w:tcW w:w="100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62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legal expenses</w:t>
            </w:r>
          </w:p>
        </w:tc>
        <w:tc>
          <w:tcPr>
            <w:tcW w:w="118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15,219</w:t>
            </w:r>
          </w:p>
        </w:tc>
      </w:tr>
      <w:tr>
        <w:trPr>
          <w:trHeight w:val="19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w:t>
            </w:r>
          </w:p>
        </w:tc>
      </w:tr>
      <w:tr>
        <w:trPr>
          <w:trHeight w:val="32"/>
        </w:trPr>
        <w:tc>
          <w:tcPr>
            <w:tcW w:w="7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direct costs</w:t>
            </w:r>
            <w:r>
              <w:rPr>
                <w:rFonts w:ascii="Times New Roman" w:cs="Times New Roman" w:eastAsia="Times New Roman" w:hAnsi="Times New Roman"/>
                <w:sz w:val="18"/>
                <w:szCs w:val="18"/>
                <w:color w:val="auto"/>
                <w:vertAlign w:val="superscript"/>
              </w:rPr>
              <w:t>(1)</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r>
      <w:tr>
        <w:trPr>
          <w:trHeight w:val="19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other liabilities</w:t>
            </w:r>
          </w:p>
        </w:tc>
        <w:tc>
          <w:tcPr>
            <w:tcW w:w="1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12,672</w:t>
            </w:r>
          </w:p>
        </w:tc>
      </w:tr>
      <w:tr>
        <w:trPr>
          <w:trHeight w:val="32"/>
        </w:trPr>
        <w:tc>
          <w:tcPr>
            <w:tcW w:w="762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6D6D6D"/>
            </w:tcBorders>
          </w:tcPr>
          <w:p>
            <w:pPr>
              <w:spacing w:after="0"/>
              <w:rPr>
                <w:sz w:val="2"/>
                <w:szCs w:val="2"/>
                <w:color w:val="auto"/>
              </w:rPr>
            </w:pPr>
          </w:p>
        </w:tc>
        <w:tc>
          <w:tcPr>
            <w:tcW w:w="600" w:type="dxa"/>
            <w:vAlign w:val="bottom"/>
            <w:tcBorders>
              <w:bottom w:val="single" w:sz="8" w:color="6D6D6D"/>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r>
      <w:tr>
        <w:trPr>
          <w:trHeight w:val="233"/>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1180" w:type="dxa"/>
            <w:vAlign w:val="bottom"/>
            <w:tcBorders>
              <w:bottom w:val="single" w:sz="8" w:color="6D6D6D"/>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6D6D6D"/>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36,040</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6D6D6D"/>
            </w:tcBorders>
          </w:tcPr>
          <w:p>
            <w:pPr>
              <w:spacing w:after="0" w:line="20" w:lineRule="exact"/>
              <w:rPr>
                <w:sz w:val="1"/>
                <w:szCs w:val="1"/>
                <w:color w:val="auto"/>
              </w:rPr>
            </w:pPr>
          </w:p>
        </w:tc>
        <w:tc>
          <w:tcPr>
            <w:tcW w:w="60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6D6D6D"/>
            </w:tcBorders>
          </w:tcPr>
          <w:p>
            <w:pPr>
              <w:spacing w:after="0" w:line="20" w:lineRule="exact"/>
              <w:rPr>
                <w:sz w:val="1"/>
                <w:szCs w:val="1"/>
                <w:color w:val="auto"/>
              </w:rPr>
            </w:pPr>
          </w:p>
        </w:tc>
        <w:tc>
          <w:tcPr>
            <w:tcW w:w="1240" w:type="dxa"/>
            <w:vAlign w:val="bottom"/>
            <w:tcBorders>
              <w:top w:val="single" w:sz="8" w:color="CCEEFF"/>
              <w:bottom w:val="single" w:sz="8" w:color="6D6D6D"/>
            </w:tcBorders>
          </w:tcPr>
          <w:p>
            <w:pPr>
              <w:spacing w:after="0" w:line="20" w:lineRule="exact"/>
              <w:rPr>
                <w:sz w:val="1"/>
                <w:szCs w:val="1"/>
                <w:color w:val="auto"/>
              </w:rPr>
            </w:pPr>
          </w:p>
        </w:tc>
      </w:tr>
    </w:tbl>
    <w:p>
      <w:pPr>
        <w:spacing w:after="0" w:line="224" w:lineRule="exact"/>
        <w:rPr>
          <w:sz w:val="20"/>
          <w:szCs w:val="20"/>
          <w:color w:val="auto"/>
        </w:rPr>
      </w:pPr>
    </w:p>
    <w:p>
      <w:pPr>
        <w:ind w:left="140" w:hanging="135"/>
        <w:spacing w:after="0"/>
        <w:tabs>
          <w:tab w:leader="none" w:pos="14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Direct costs include utilities, maintenance, insurance, cleaning, and other expenses related to the Company’s properties</w:t>
      </w:r>
      <w:r>
        <w:rPr>
          <w:rFonts w:ascii="Times New Roman" w:cs="Times New Roman" w:eastAsia="Times New Roman" w:hAnsi="Times New Roman"/>
          <w:sz w:val="11"/>
          <w:szCs w:val="11"/>
          <w:color w:val="auto"/>
        </w:rPr>
        <w: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non-current liabilities</w:t>
            </w: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61"/>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 consists of the following (in thousands):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7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color w:val="auto"/>
              </w:rPr>
              <w:t>December 31,</w:t>
            </w:r>
          </w:p>
        </w:tc>
        <w:tc>
          <w:tcPr>
            <w:tcW w:w="1240" w:type="dxa"/>
            <w:vAlign w:val="bottom"/>
          </w:tcPr>
          <w:p>
            <w:pPr>
              <w:spacing w:after="0"/>
              <w:rPr>
                <w:sz w:val="18"/>
                <w:szCs w:val="18"/>
                <w:color w:val="auto"/>
              </w:rPr>
            </w:pPr>
          </w:p>
        </w:tc>
      </w:tr>
      <w:tr>
        <w:trPr>
          <w:trHeight w:val="32"/>
        </w:trPr>
        <w:tc>
          <w:tcPr>
            <w:tcW w:w="76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7620" w:type="dxa"/>
            <w:vAlign w:val="bottom"/>
          </w:tcPr>
          <w:p>
            <w:pPr>
              <w:spacing w:after="0"/>
              <w:rPr>
                <w:sz w:val="15"/>
                <w:szCs w:val="15"/>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6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Marriott key money liability</w:t>
            </w: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32"/>
        </w:trPr>
        <w:tc>
          <w:tcPr>
            <w:tcW w:w="7620" w:type="dxa"/>
            <w:vAlign w:val="bottom"/>
            <w:tcBorders>
              <w:bottom w:val="single" w:sz="8" w:color="CCEEFF"/>
            </w:tcBorders>
          </w:tcPr>
          <w:p>
            <w:pPr>
              <w:spacing w:after="0"/>
              <w:rPr>
                <w:sz w:val="2"/>
                <w:szCs w:val="2"/>
                <w:color w:val="auto"/>
              </w:rPr>
            </w:pPr>
          </w:p>
        </w:tc>
        <w:tc>
          <w:tcPr>
            <w:tcW w:w="122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r>
      <w:tr>
        <w:trPr>
          <w:trHeight w:val="233"/>
        </w:trPr>
        <w:tc>
          <w:tcPr>
            <w:tcW w:w="7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1220" w:type="dxa"/>
            <w:vAlign w:val="bottom"/>
            <w:tcBorders>
              <w:bottom w:val="single" w:sz="8" w:color="6D6D6D"/>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6D6D6D"/>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6D6D6D"/>
            </w:tcBorders>
          </w:tcPr>
          <w:p>
            <w:pPr>
              <w:spacing w:after="0" w:line="20" w:lineRule="exact"/>
              <w:rPr>
                <w:sz w:val="1"/>
                <w:szCs w:val="1"/>
                <w:color w:val="auto"/>
              </w:rPr>
            </w:pPr>
          </w:p>
        </w:tc>
        <w:tc>
          <w:tcPr>
            <w:tcW w:w="5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6D6D6D"/>
            </w:tcBorders>
          </w:tcPr>
          <w:p>
            <w:pPr>
              <w:spacing w:after="0" w:line="20" w:lineRule="exact"/>
              <w:rPr>
                <w:sz w:val="1"/>
                <w:szCs w:val="1"/>
                <w:color w:val="auto"/>
              </w:rPr>
            </w:pPr>
          </w:p>
        </w:tc>
        <w:tc>
          <w:tcPr>
            <w:tcW w:w="1240" w:type="dxa"/>
            <w:vAlign w:val="bottom"/>
            <w:tcBorders>
              <w:top w:val="single" w:sz="8" w:color="CCEEFF"/>
              <w:bottom w:val="single" w:sz="8" w:color="6D6D6D"/>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Fair Value Measurement and Financial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highlight w:val="white"/>
        </w:rPr>
        <w:t>: Quoted prices in active markets. These are typically obtained from real-time quotes for transactions in active exchange markets involving identical assets.</w:t>
      </w:r>
    </w:p>
    <w:p>
      <w:pPr>
        <w:spacing w:after="0" w:line="200" w:lineRule="exact"/>
        <w:rPr>
          <w:sz w:val="20"/>
          <w:szCs w:val="20"/>
          <w:color w:val="auto"/>
        </w:rPr>
      </w:pPr>
    </w:p>
    <w:p>
      <w:pPr>
        <w:ind w:left="1020" w:hanging="508"/>
        <w:spacing w:after="0" w:line="287"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Quoted prices for similar instruments in active markets. These are typically quoted prices for identical or similar instruments in markets that are not active, and model-derived valuations in which all significant inputs are observable in active markets.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Unobservable inputs in which there is little or no market data that are significant to the fair value of the assets or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financial instrument’s classification within the fair value hierarchy is based on the lowest level of any input that is significant to the fair value measurement.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Forward Contract Liability</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As part of the August 2024 Securities Purchase Agreements, as described further in Note 8, </w:t>
      </w:r>
      <w:r>
        <w:rPr>
          <w:rFonts w:ascii="Times New Roman" w:cs="Times New Roman" w:eastAsia="Times New Roman" w:hAnsi="Times New Roman"/>
          <w:sz w:val="14"/>
          <w:szCs w:val="14"/>
          <w:i w:val="1"/>
          <w:iCs w:val="1"/>
          <w:color w:val="auto"/>
        </w:rPr>
        <w:t>Redeemable Preferred Stock</w:t>
      </w:r>
      <w:r>
        <w:rPr>
          <w:rFonts w:ascii="Times New Roman" w:cs="Times New Roman" w:eastAsia="Times New Roman" w:hAnsi="Times New Roman"/>
          <w:sz w:val="14"/>
          <w:szCs w:val="14"/>
          <w:color w:val="auto"/>
        </w:rPr>
        <w:t>, the transaction included a liability-classified forward contract for commitments of investors to purchase, and commitments of the Company to sell, additional Series A Preferred Stock. This commitment ended upon the issuance of approximately 28.6 million shares of Series A Preferred Stock in November 2024. The Company recognized a change in fair value of the forward contract of $28.7 million as the remeasurement reflecting fluctuations in the underlying variables and assumptions from inception on August 13, 2024 through the final closing of the August 2024 Preferred Financing on November 6,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 Participation Right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As part of the August 2024 Securities Purchase Agreements, as described further in Note 8, </w:t>
      </w:r>
      <w:r>
        <w:rPr>
          <w:rFonts w:ascii="Times New Roman" w:cs="Times New Roman" w:eastAsia="Times New Roman" w:hAnsi="Times New Roman"/>
          <w:sz w:val="14"/>
          <w:szCs w:val="14"/>
          <w:i w:val="1"/>
          <w:iCs w:val="1"/>
          <w:color w:val="auto"/>
        </w:rPr>
        <w:t>Redeemable Preferred Stock</w:t>
      </w:r>
      <w:r>
        <w:rPr>
          <w:rFonts w:ascii="Times New Roman" w:cs="Times New Roman" w:eastAsia="Times New Roman" w:hAnsi="Times New Roman"/>
          <w:sz w:val="14"/>
          <w:szCs w:val="14"/>
          <w:color w:val="auto"/>
        </w:rPr>
        <w:t>, the Company recognized a liability for preferred stock participation right (the “Preferred Stock Participation Right”) (as described below) of $1.3 million within other current liabilities in the consolidated balance sheets as of December 31, 2024. The change in fair value of the Preferred Stock Participation Right recognized from inception on August 13, 2024 through the year ended on December 31, 2024 was not significant.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SPAC Warrants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part of the GMII initial public offering (“GMII IPO”), GMII issued 9,000,000 public warrants (the “Public Warrants”) and 5,500,000 private placement warrants (the “Private Placement Warrants”), of which every 20 warrants are exercisable for one share of common stock at a price of $230.00 per common share (collectively, the “SPAC Warrants”).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has determined that the SPAC Warrants issued in the GMII IPO, which remained outstanding at consummation of the Business Combination and became exercisable for shares of the Company’s common stock, are subject to accounting treatment as a liability. At the consummation of the Business Combination and at December 31, 2024, the Company used the Public Warrants stock price to value the Public Warrants.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consummation of the Business Combination, the Company used a Monte Carlo simulation methodology to value the Private Placement Warrants using Level 3 inputs since the Company did not have observable inputs for the valuation. At December 31, 2022, the Company used the Black-Scholes option-pricing model to estimate the fair value of 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December 31, 2024 and December 31, 2023 the Company used the Public Warrants stock price to value all SPAC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the SPAC Warrants were valued at $0.01 per warrant.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Note 10, </w:t>
      </w:r>
      <w:r>
        <w:rPr>
          <w:rFonts w:ascii="Times New Roman" w:cs="Times New Roman" w:eastAsia="Times New Roman" w:hAnsi="Times New Roman"/>
          <w:sz w:val="14"/>
          <w:szCs w:val="14"/>
          <w:i w:val="1"/>
          <w:iCs w:val="1"/>
          <w:color w:val="auto"/>
        </w:rPr>
        <w:t>Warrants and Stockholders' Deficit</w:t>
      </w:r>
      <w:r>
        <w:rPr>
          <w:rFonts w:ascii="Times New Roman" w:cs="Times New Roman" w:eastAsia="Times New Roman" w:hAnsi="Times New Roman"/>
          <w:sz w:val="14"/>
          <w:szCs w:val="14"/>
          <w:color w:val="auto"/>
        </w:rPr>
        <w:t>, for additional information about the SPAC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 Out Liability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consideration paid at consummation of the Business Combination, certain investors may receive their pro rata share of up to an aggregate of 725,000 additional shares of the Company’s common stock as consideration upon the common stock achieving certain benchmark share prices, as set forth in the merger agreement (the “Earn Out”). Management has determined that the Earn Out is subject to treatment as a liability (the “Earn Out Liability”).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Company used a Monte Carlo simulation methodology to value the Earn Out Liability using Level 3 inputs. The key assumptions used in the Monte Carlo simulation are related to expected share-price volatility of 87.5%, expected term of 2.54 years, risk-free interest rate of 4.3%, and dividend yield of 0%. The expected volatility at December 31, 2024 was derived from the volatility of comparable public companies.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Delayed Draw Warrants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fair value of the Delayed Draw Warrants (as defined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was estimated by separating the Delayed Draw Notes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Measurement</w:t>
      </w:r>
      <w:r>
        <w:rPr>
          <w:rFonts w:ascii="Times New Roman" w:cs="Times New Roman" w:eastAsia="Times New Roman" w:hAnsi="Times New Roman"/>
          <w:sz w:val="14"/>
          <w:szCs w:val="14"/>
          <w:color w:val="auto"/>
        </w:rPr>
        <w:t>. The warrants component was recorded as a debt discount, which is amortized using the effective interest method over the period from the date of issuance through the maturity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Upon consummation of the Business Combination, the fair value of the Delayed Draw Warrants was $5.6 million and was recorded within additional paid in capital in the consolidated balance sheets. As described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 connection with the Third Notes Amendment to the Note Purchase Agreement, the Purchasers received New Delayed Draw Warrants and the previously issued Delayed Draw Warrants to the NPA Purchasers were canceled. In August 2024, all New Delayed Draw Warrants were exercised for cash.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NPA Waiver Obligation and NPA Waiver Warrants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the NPA Waiver (as defined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the Company promised to issue shares or to deliver cash to the NPA Purchasers (as defined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(the “NPA Waiver Obligation”). The Company accounted for the NPA Waiver Obligation as a liability classified instrument. Upon issuing the NPA Waiver Obligation, the fair value was $1.3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Following approval of the Share Increase Proposal (as defined in the NPA Waiver) at the Company’s annual meeting of stockholders held on December 23, 2024 (the “2024 Annual Meeting”), on December 30, 2024, the Company issued warrants to the NPA Purchasers (as defined in the NPA Waiver) to purchase an aggregate of 500,000 shares of the Company’s common stock, each with an exercise of $0.01 (the “NPA Waiver Warrants”). The NPA Waiver Obligation was marked to fair value of $1.6 million immediately prior to the settlement of the obligation. Upon settlement of the obligation, the NPA Waiver Obligation was recharacterized as NPA Waiver Warrants, which are accounted for as liabilities. As of the effective date of December 30, 2024, the NPA Waiver Warrants can be exercised with no restrictions. As such, at December 31, 2024, the Company’s stock price was used to value all NPA Waiver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Recurring Fair Value Measurements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Preferred Stock Participation Right and NPA Waiver Warrants were included in other current liabilities in the consolidated balance sheets. At December 31, 2024, the Earn Out Liability and Public Warrants liability were included in other non-current liabilities in the consolidated balance sheets. The following table presents fair value information for liabilities measured at fair value on a recurring basis as of December 31, 2024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Level 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Level 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32"/>
        </w:trPr>
        <w:tc>
          <w:tcPr>
            <w:tcW w:w="4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Participation Right</w:t>
            </w:r>
            <w:r>
              <w:rPr>
                <w:rFonts w:ascii="Times New Roman" w:cs="Times New Roman" w:eastAsia="Times New Roman" w:hAnsi="Times New Roman"/>
                <w:sz w:val="18"/>
                <w:szCs w:val="18"/>
                <w:color w:val="auto"/>
                <w:vertAlign w:val="superscript"/>
              </w:rPr>
              <w:t>(1)</w:t>
            </w:r>
          </w:p>
        </w:tc>
        <w:tc>
          <w:tcPr>
            <w:tcW w:w="120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NPA Waiver Warrants</w:t>
            </w:r>
            <w:r>
              <w:rPr>
                <w:rFonts w:ascii="Times New Roman" w:cs="Times New Roman" w:eastAsia="Times New Roman" w:hAnsi="Times New Roman"/>
                <w:sz w:val="18"/>
                <w:szCs w:val="18"/>
                <w:color w:val="auto"/>
                <w:vertAlign w:val="superscript"/>
              </w:rPr>
              <w:t>(2)</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20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 Out Liability</w:t>
            </w:r>
          </w:p>
        </w:tc>
        <w:tc>
          <w:tcPr>
            <w:tcW w:w="1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32"/>
        </w:trPr>
        <w:tc>
          <w:tcPr>
            <w:tcW w:w="4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200" w:type="dxa"/>
            <w:vAlign w:val="bottom"/>
            <w:tcBorders>
              <w:bottom w:val="single" w:sz="8" w:color="CCEEFF"/>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At inception, on August 13, 2024, the fair value of the Preferred Stock Participation Right was $1.3 million.</w:t>
      </w:r>
    </w:p>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At inception, on December 30, 2024 when NPA Waiver Obligation was recharacterized as NPA Waiver Warrants, the fair value of the NPA Waiver Warrants were $1.6 million.</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the Earn Out Liability and Public Warrants liability were included in other non-current liabilities in the consolidated balance sheets. The following table presents fair value information for liabilities measured at fair value on a recurring basis as of December 31, 2023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Level 2</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Level 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Total</w:t>
            </w:r>
          </w:p>
        </w:tc>
      </w:tr>
      <w:tr>
        <w:trPr>
          <w:trHeight w:val="32"/>
        </w:trPr>
        <w:tc>
          <w:tcPr>
            <w:tcW w:w="4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 Out Liability</w:t>
            </w:r>
          </w:p>
        </w:tc>
        <w:tc>
          <w:tcPr>
            <w:tcW w:w="126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32"/>
        </w:trPr>
        <w:tc>
          <w:tcPr>
            <w:tcW w:w="4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26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changes in the Company’s Level 3 liabilities measured at fair value on a recurring basis for the year ended December 31, 2024 (in thousands):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690"/>
        </w:trPr>
        <w:tc>
          <w:tcPr>
            <w:tcW w:w="1000" w:type="dxa"/>
            <w:vAlign w:val="bottom"/>
            <w:tcBorders>
              <w:top w:val="single" w:sz="8" w:color="0000FF"/>
            </w:tcBorders>
          </w:tcPr>
          <w:p>
            <w:pPr>
              <w:spacing w:after="0"/>
              <w:rPr>
                <w:sz w:val="24"/>
                <w:szCs w:val="24"/>
                <w:color w:val="auto"/>
              </w:rPr>
            </w:pPr>
          </w:p>
        </w:tc>
        <w:tc>
          <w:tcPr>
            <w:tcW w:w="8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Level 3</w:t>
            </w:r>
          </w:p>
        </w:tc>
      </w:tr>
      <w:tr>
        <w:trPr>
          <w:trHeight w:val="32"/>
        </w:trPr>
        <w:tc>
          <w:tcPr>
            <w:tcW w:w="95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January 1, 2024</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Forward Contract Liability</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53,690</w:t>
            </w:r>
          </w:p>
        </w:tc>
      </w:tr>
      <w:tr>
        <w:trPr>
          <w:trHeight w:val="32"/>
        </w:trPr>
        <w:tc>
          <w:tcPr>
            <w:tcW w:w="95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9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Preferred Stock Participation Right</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r>
      <w:tr>
        <w:trPr>
          <w:trHeight w:val="191"/>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NPA Waiver Obligation</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r>
      <w:tr>
        <w:trPr>
          <w:trHeight w:val="32"/>
        </w:trPr>
        <w:tc>
          <w:tcPr>
            <w:tcW w:w="95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9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Forward Contract Liability</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28,652</w:t>
            </w:r>
          </w:p>
        </w:tc>
      </w:tr>
      <w:tr>
        <w:trPr>
          <w:trHeight w:val="191"/>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 Out Liability</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2"/>
        </w:trPr>
        <w:tc>
          <w:tcPr>
            <w:tcW w:w="95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9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Preferred Stock Participation Right</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NPA Waiver Obligation</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32"/>
        </w:trPr>
        <w:tc>
          <w:tcPr>
            <w:tcW w:w="95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9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 of Forward Contract Liability</w:t>
            </w:r>
          </w:p>
        </w:tc>
        <w:tc>
          <w:tcPr>
            <w:tcW w:w="3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(82,342)</w:t>
            </w:r>
          </w:p>
        </w:tc>
      </w:tr>
      <w:tr>
        <w:trPr>
          <w:trHeight w:val="191"/>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Settlement of NPA Waiver Obligation</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r>
      <w:tr>
        <w:trPr>
          <w:trHeight w:val="32"/>
        </w:trPr>
        <w:tc>
          <w:tcPr>
            <w:tcW w:w="95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December 31, 2024</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changes in the Company’s Level 3 liabilities measured at fair value on a recurring basis for the year ended December 31, 2023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Level 3</w:t>
            </w:r>
          </w:p>
        </w:tc>
      </w:tr>
      <w:tr>
        <w:trPr>
          <w:trHeight w:val="32"/>
        </w:trPr>
        <w:tc>
          <w:tcPr>
            <w:tcW w:w="9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9580" w:type="dxa"/>
            <w:vAlign w:val="bottom"/>
            <w:tcBorders>
              <w:bottom w:val="single" w:sz="8" w:color="CCEEFF"/>
            </w:tcBorders>
            <w:shd w:val="clear" w:color="auto" w:fill="CCEEFF"/>
          </w:tcPr>
          <w:p>
            <w:pPr>
              <w:jc w:val="center"/>
              <w:ind w:right="7309"/>
              <w:spacing w:after="0"/>
              <w:rPr>
                <w:sz w:val="20"/>
                <w:szCs w:val="20"/>
                <w:color w:val="auto"/>
              </w:rPr>
            </w:pPr>
            <w:r>
              <w:rPr>
                <w:rFonts w:ascii="Times New Roman" w:cs="Times New Roman" w:eastAsia="Times New Roman" w:hAnsi="Times New Roman"/>
                <w:sz w:val="14"/>
                <w:szCs w:val="14"/>
                <w:color w:val="auto"/>
              </w:rPr>
              <w:t>Beginning balance, at January 1, 2023</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r>
      <w:tr>
        <w:trPr>
          <w:trHeight w:val="191"/>
        </w:trPr>
        <w:tc>
          <w:tcPr>
            <w:tcW w:w="9580" w:type="dxa"/>
            <w:vAlign w:val="bottom"/>
          </w:tcPr>
          <w:p>
            <w:pPr>
              <w:jc w:val="center"/>
              <w:ind w:right="7309"/>
              <w:spacing w:after="0"/>
              <w:rPr>
                <w:sz w:val="20"/>
                <w:szCs w:val="20"/>
                <w:color w:val="auto"/>
              </w:rPr>
            </w:pPr>
            <w:r>
              <w:rPr>
                <w:rFonts w:ascii="Times New Roman" w:cs="Times New Roman" w:eastAsia="Times New Roman" w:hAnsi="Times New Roman"/>
                <w:sz w:val="14"/>
                <w:szCs w:val="14"/>
                <w:color w:val="auto"/>
              </w:rPr>
              <w:t>Recognition of Earn Out Liability</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r>
      <w:tr>
        <w:trPr>
          <w:trHeight w:val="32"/>
        </w:trPr>
        <w:tc>
          <w:tcPr>
            <w:tcW w:w="9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9580" w:type="dxa"/>
            <w:vAlign w:val="bottom"/>
            <w:tcBorders>
              <w:bottom w:val="single" w:sz="8" w:color="CCEEFF"/>
            </w:tcBorders>
            <w:shd w:val="clear" w:color="auto" w:fill="CCEEFF"/>
          </w:tcPr>
          <w:p>
            <w:pPr>
              <w:jc w:val="center"/>
              <w:ind w:right="7269"/>
              <w:spacing w:after="0"/>
              <w:rPr>
                <w:sz w:val="20"/>
                <w:szCs w:val="20"/>
                <w:color w:val="auto"/>
              </w:rPr>
            </w:pPr>
            <w:r>
              <w:rPr>
                <w:rFonts w:ascii="Times New Roman" w:cs="Times New Roman" w:eastAsia="Times New Roman" w:hAnsi="Times New Roman"/>
                <w:sz w:val="14"/>
                <w:szCs w:val="14"/>
                <w:color w:val="auto"/>
              </w:rPr>
              <w:t>Ending balance, at December 31, 2023</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discussed above, other than the transfer of the Private Placement Warrants when they became Public Warrants in 2023, there were no other transfers of financial instruments between valuation levels during the years ended December 31, 2024 and 2023.</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estimates that the fair 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assumptions are inherently subjective and involve significant management judgment. Any change in fair value is recognized as a component of other expense (income), net,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48"/>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Property and equipment, net</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2"/>
        </w:trPr>
        <w:tc>
          <w:tcPr>
            <w:tcW w:w="100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December 31,</w:t>
            </w:r>
          </w:p>
        </w:tc>
        <w:tc>
          <w:tcPr>
            <w:tcW w:w="1000" w:type="dxa"/>
            <w:vAlign w:val="bottom"/>
          </w:tcPr>
          <w:p>
            <w:pPr>
              <w:spacing w:after="0"/>
              <w:rPr>
                <w:sz w:val="18"/>
                <w:szCs w:val="18"/>
                <w:color w:val="auto"/>
              </w:rPr>
            </w:pPr>
          </w:p>
        </w:tc>
      </w:tr>
      <w:tr>
        <w:trPr>
          <w:trHeight w:val="32"/>
        </w:trPr>
        <w:tc>
          <w:tcPr>
            <w:tcW w:w="10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822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94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80,029</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Computers and software</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12,026</w:t>
            </w:r>
          </w:p>
        </w:tc>
      </w:tr>
      <w:tr>
        <w:trPr>
          <w:trHeight w:val="32"/>
        </w:trPr>
        <w:tc>
          <w:tcPr>
            <w:tcW w:w="82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Office equipment and other</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32"/>
        </w:trPr>
        <w:tc>
          <w:tcPr>
            <w:tcW w:w="82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9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r>
      <w:tr>
        <w:trPr>
          <w:trHeight w:val="223"/>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Construction-in-progress </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6D6D6D"/>
            </w:tcBorders>
          </w:tcPr>
          <w:p>
            <w:pPr>
              <w:spacing w:after="0"/>
              <w:rPr>
                <w:sz w:val="19"/>
                <w:szCs w:val="19"/>
                <w:color w:val="auto"/>
              </w:rPr>
            </w:pPr>
          </w:p>
        </w:tc>
        <w:tc>
          <w:tcPr>
            <w:tcW w:w="5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6D6D6D"/>
            </w:tcBorders>
          </w:tcPr>
          <w:p>
            <w:pPr>
              <w:spacing w:after="0"/>
              <w:rPr>
                <w:sz w:val="19"/>
                <w:szCs w:val="19"/>
                <w:color w:val="auto"/>
              </w:rPr>
            </w:pPr>
          </w:p>
        </w:tc>
        <w:tc>
          <w:tcPr>
            <w:tcW w:w="10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777</w:t>
            </w:r>
          </w:p>
        </w:tc>
      </w:tr>
      <w:tr>
        <w:trPr>
          <w:trHeight w:val="19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114,590</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(91,815)</w:t>
            </w:r>
          </w:p>
        </w:tc>
      </w:tr>
      <w:tr>
        <w:trPr>
          <w:trHeight w:val="32"/>
        </w:trPr>
        <w:tc>
          <w:tcPr>
            <w:tcW w:w="822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22,775</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 xml:space="preserve"> Primarily includes costs for internal-use software.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for the years ended December 31, 2024 and 2023 was $17.0 million and $22.1 million, respectively.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the Company recognized $23 thousand and $0.7 million of impairment on various property and equipment which was recorded in impairment losses on the Company’s consolidated statements of operations and comprehensive loss.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2024 and 2023, the Company disposed of $14.4 million and $1.3 million in property and equipment and wrote off previously recognized accumulated depreciation of $11.3 million and $0.3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the Company recognized losses on disposal of $1.4 million. For the year ended December 31, 2023, the Company recognized immaterial losses on disposal.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on disposal was recorded in operations and support on the Company's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Purchase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10, 2021, the Company entered into the Note Purchase Agreement with NPA Purchasers for the sale of delayed draw notes in the aggregate principal amount of $165.0 million to be available to the Company following the consummation of the Business Combination (the “Delayed Draw Notes”). The Note Purchase Agreement also provided for the issuance of warrants to purchase an aggregate of 123,750 shares of the Company’s common stock with an exercise price of $250.00 per share (the “Delayed Draw Warrants”).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2022, upon consummation of the Business Combination, the Company drew $165.0 million in Delayed Draw Notes and issued Delayed Draw Warrants to purchase 123,750 shares of common stock from the NPA Purchasers. The Delayed Draw Notes have a maturity of five years from the date of issuance and are subject to interest on the unpaid principal amount at a rate per annum equal to the three-month secured overnight financing rate plus 9.0% payable in cash. For the first two years, the Company elected payment-in-kind (“PIK”) interest, quarterly in arrears. The Delayed Draw Notes are secured by substantially all of the assets of the Company. The Delayed Draw Warrants expire five years after issuance.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21, 2022, the Company entered into an amendment to the Note Purchase Agreement (the “First Notes Amendment”), between various obligors, guarantors, investors, and the collateral agent. Among other things, the First Notes Amendment provided additional flexibility to the Company under certain of the negative covenants in the Note Purchase Agreement, including to permit certain transactions contemplated by the 2022 Loan and Security Agreement and related cash collateral.</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November 6, 2023, the Company entered into an amendment to the Note Purchase Agreement (the “Second Notes Amendment”), which (i) extended the ability to pay interest in kind on the Delayed Draw Notes through July 19, 2024, (ii)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provided for the repayment by the Company of $30.0 million of the outstanding principal amount of the Delayed Draw Notes, plus a prepayment premium of approximately $4.3 million, and (iii) added a minimum liquidity covenant and a minimum free cash flow covenant, each as more fully detailed in the Second Notes Amendment.</w:t>
      </w:r>
    </w:p>
    <w:p>
      <w:pPr>
        <w:spacing w:after="0" w:line="14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On June 10, 2024, the Company entered into a waiver and amendment to the Note Purchase Agreement (the “Third Notes Amendment”), which provided for (i) a permanent waiver of certain non-compliance relating to financial reporting, (ii) the limited forbearance of certain rights and remedies available under the transaction documents, (iii) the amendment of certain financial covenants, and</w:t>
      </w:r>
    </w:p>
    <w:p>
      <w:pPr>
        <w:spacing w:after="0" w:line="1" w:lineRule="exact"/>
        <w:rPr>
          <w:sz w:val="20"/>
          <w:szCs w:val="20"/>
          <w:color w:val="auto"/>
        </w:rPr>
      </w:pPr>
    </w:p>
    <w:p>
      <w:pPr>
        <w:jc w:val="both"/>
        <w:ind w:firstLine="5"/>
        <w:spacing w:after="0" w:line="256" w:lineRule="auto"/>
        <w:tabs>
          <w:tab w:leader="none" w:pos="24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commitments with an aggregate principal amount of $10.0 million. In addition, the NPA Purchasers also received detachable warrants (the “New Delayed Draw Warrants”) to purchase an aggregate of 475,264 shares of the Company’s common stock, each with an exercise price of $0.01 per share and an expiration date five years after the issuance date, and the previously issued Delayed Draw Warrants to the NPA Purchasers were canceled. The NPA Purchasers were also provided with customary registration rights for shares issuable upon exercise of the New Delayed Draw Warrants. Subsequently on June 10, 2024, the Company issued the $10.0 million of Delayed Draw Notes, together with the New Delayed Draw Warrants. In August 2024, all New Delayed Draw Warrants were exercised for cash. The Company used the proceeds from this issuance of Delayed Draw Notes and the exercise of the New Delayed Draw Warrants for general corporate purposes.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12, 2024, the Company entered into an amendment to the Note Purchase Agreement (the “Fourth Notes Amendment”), which provided for additional commitments with an aggregate principal amount of up to $6.0 million issuable at the Company’s election. Subsequently, on July 12, 2024, the Company issued the $6.0 million of Delayed Draw Notes. The Company used the proceeds for general corporate purposes.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13, 2024, the Company entered into an amendment to the Note Purchase Agreement (the “Fifth Notes Amendment”), which (i) extended the maturity date of all outstanding Delayed Draw Notes to December 10, 2027, (ii) extended the PIK interest payments through March 31, 2025, and at the option of the Delayed Draw Notes obligors further extends the PIK interest payments through December 31, 2026, and (iii) provided for additional commitments with an aggregate principal amount of up to $4.0 million. On August 13, 2024, the Company issued the full $4.0 million of Delayed Draw Notes. The Company used the proceeds for general corporate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October 28, 2024, the Company entered into a limited waiver and consent agreement to the Note Purchase Agreement (the “NPA Waiver”) to provide for (i) a permanent waiver of any non-compliance resulting from (x) the Company entering into certain lease modification agreements to that certain Lease with respect to certain premises located in the building known as and located at 23-20 Jackson Avenue, Long Island City, New York 11101, as amended, and (y) the Company’s failure to deliver the audited financial statements for each of the Company’s fiscal years ending December 31, 2023 and December 31, 2024 without a “going concern” or like qualification (the “NPA Waived Matters”), and (ii) the Company’s commitment to, on the date that the Company files its Current Report on Form 8-K disclosing the voting results of the Company’s 2024 Annual Meeting, (1) if the Share Increase Proposal (as defined in the NPA Waiver) is approved at the 2024 Annual Meeting, issue warrants to the NPA Purchasers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NPA Purchasers in the aggregate amount of $3.0 million. As a result of the NPA Waiver, the debt balances associated with the Delayed Draw Notes have been reclassified from current portion of long-term debt to long-term debt, net as of December 31, 2024. Following approval of the Share Increase Proposal at the 2024 Annual Meeting, the Company issued warrants to the NPA Purchasers.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and 2023, the effective interest rate of the Delayed Draw Notes was 16.7% and 17.4%,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Equipment Financing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25, 2023, the Company entered into a master equipment financing agreement (the “EFA”), which is accounted for as debt. In accordance with the EFA, the Company received approximately $3.0 million in exchange for conveying an interest in certain furniture, fixtures, and equipment (“FF&amp;E”). The EFA contains customary terms and events of default and provides for 12 quarterly payments with an effective interest rate of approximately 12.8% as of December 31, 2024, which includes a balloon payment at the end of the term. The EFA terminates in July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48"/>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 term debt, net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03"/>
        </w:trPr>
        <w:tc>
          <w:tcPr>
            <w:tcW w:w="10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24"/>
                <w:szCs w:val="24"/>
                <w:color w:val="auto"/>
              </w:rPr>
            </w:pPr>
          </w:p>
        </w:tc>
        <w:tc>
          <w:tcPr>
            <w:tcW w:w="17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32"/>
        </w:trPr>
        <w:tc>
          <w:tcPr>
            <w:tcW w:w="72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Purchase Agreement, including capitalized PIK interest</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180,199</w:t>
            </w:r>
          </w:p>
        </w:tc>
      </w:tr>
      <w:tr>
        <w:trPr>
          <w:trHeight w:val="191"/>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EFA</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32"/>
        </w:trPr>
        <w:tc>
          <w:tcPr>
            <w:tcW w:w="7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debt discount related to NPA Waiver Obligation, net of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Less: debt discount related to Delayed Draw Warrants, net of amortization</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r>
      <w:tr>
        <w:trPr>
          <w:trHeight w:val="32"/>
        </w:trPr>
        <w:tc>
          <w:tcPr>
            <w:tcW w:w="7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deferred issuance costs</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w:t>
            </w:r>
          </w:p>
        </w:tc>
      </w:tr>
      <w:tr>
        <w:trPr>
          <w:trHeight w:val="181"/>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debt, net</w:t>
            </w:r>
          </w:p>
        </w:tc>
        <w:tc>
          <w:tcPr>
            <w:tcW w:w="260" w:type="dxa"/>
            <w:vAlign w:val="bottom"/>
            <w:tcBorders>
              <w:top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218,236</w:t>
            </w:r>
          </w:p>
        </w:tc>
        <w:tc>
          <w:tcPr>
            <w:tcW w:w="80" w:type="dxa"/>
            <w:vAlign w:val="bottom"/>
          </w:tcPr>
          <w:p>
            <w:pPr>
              <w:spacing w:after="0"/>
              <w:rPr>
                <w:sz w:val="15"/>
                <w:szCs w:val="15"/>
                <w:color w:val="auto"/>
              </w:rPr>
            </w:pPr>
          </w:p>
        </w:tc>
        <w:tc>
          <w:tcPr>
            <w:tcW w:w="260" w:type="dxa"/>
            <w:vAlign w:val="bottom"/>
            <w:tcBorders>
              <w:top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170,210</w:t>
            </w:r>
          </w:p>
        </w:tc>
      </w:tr>
      <w:tr>
        <w:trPr>
          <w:trHeight w:val="32"/>
        </w:trPr>
        <w:tc>
          <w:tcPr>
            <w:tcW w:w="7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(168,710)</w:t>
            </w:r>
          </w:p>
        </w:tc>
      </w:tr>
      <w:tr>
        <w:trPr>
          <w:trHeight w:val="181"/>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long-term debt, net</w:t>
            </w:r>
          </w:p>
        </w:tc>
        <w:tc>
          <w:tcPr>
            <w:tcW w:w="260" w:type="dxa"/>
            <w:vAlign w:val="bottom"/>
            <w:tcBorders>
              <w:top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217,236</w:t>
            </w:r>
          </w:p>
        </w:tc>
        <w:tc>
          <w:tcPr>
            <w:tcW w:w="80" w:type="dxa"/>
            <w:vAlign w:val="bottom"/>
          </w:tcPr>
          <w:p>
            <w:pPr>
              <w:spacing w:after="0"/>
              <w:rPr>
                <w:sz w:val="15"/>
                <w:szCs w:val="15"/>
                <w:color w:val="auto"/>
              </w:rPr>
            </w:pPr>
          </w:p>
        </w:tc>
        <w:tc>
          <w:tcPr>
            <w:tcW w:w="260" w:type="dxa"/>
            <w:vAlign w:val="bottom"/>
            <w:tcBorders>
              <w:top w:val="single" w:sz="8" w:color="6D6D6D"/>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32"/>
        </w:trPr>
        <w:tc>
          <w:tcPr>
            <w:tcW w:w="100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60" w:type="dxa"/>
            <w:vAlign w:val="bottom"/>
            <w:tcBorders>
              <w:bottom w:val="single" w:sz="8" w:color="6D6D6D"/>
            </w:tcBorders>
          </w:tcPr>
          <w:p>
            <w:pPr>
              <w:spacing w:after="0"/>
              <w:rPr>
                <w:sz w:val="2"/>
                <w:szCs w:val="2"/>
                <w:color w:val="auto"/>
              </w:rPr>
            </w:pPr>
          </w:p>
        </w:tc>
        <w:tc>
          <w:tcPr>
            <w:tcW w:w="1680" w:type="dxa"/>
            <w:vAlign w:val="bottom"/>
            <w:tcBorders>
              <w:bottom w:val="single" w:sz="8" w:color="6D6D6D"/>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6D6D6D"/>
            </w:tcBorders>
          </w:tcPr>
          <w:p>
            <w:pPr>
              <w:spacing w:after="0"/>
              <w:rPr>
                <w:sz w:val="2"/>
                <w:szCs w:val="2"/>
                <w:color w:val="auto"/>
              </w:rPr>
            </w:pPr>
          </w:p>
        </w:tc>
        <w:tc>
          <w:tcPr>
            <w:tcW w:w="1720" w:type="dxa"/>
            <w:vAlign w:val="bottom"/>
            <w:tcBorders>
              <w:bottom w:val="single" w:sz="8" w:color="6D6D6D"/>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6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720" w:type="dxa"/>
            <w:vAlign w:val="bottom"/>
            <w:tcBorders>
              <w:bottom w:val="single" w:sz="8" w:color="6D6D6D"/>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the current portion of long-term debt consisted of $1.0 million in principal on the EFA. At December 31, 2023, the current portion of long-term debt consisted of $167.7 million in principal on the Note Purchase Agreement and $1.0 million in principal on the EFA. As a result of a potential event of default at that time, the indebtedness related to our Delayed Draw Notes as of December 31, 2023 was classified from long-term debt, net to current portion of long term-debt,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Loan and Security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2022, the Company entered into the 2022 Loan and Security Agreement for a revolving line of credit in an aggregate principal balance of $60.0 million with a maturity date of December 21, 2025. The facility may be utilized for revolving loans or letter of credit issuances subject to terms of the agreement. As of December 31, 2024, all letters of credit under this facility are fully cash collateralized, and as a result, the Company may not draw against the facility pursuant to the terms of the agreement. The 2022 Loan and Security Agreement includes: (i) (x)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28, 2023, the Company amended the 2022 Loan and Security Agreement (the “First LSA Amendment”). Among other things, the First LSA Amendment (i) reduced the required cash holdings account balances in the Company’s operating accounts, securities accounts, and depository accounts at or through SVB or its affiliates, (ii) amended the minimum consolidated adjusted EBITDA financial covenant, and (iii) provided additional flexibility to the Company under certain of the negative covenants in the agreement.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6, 2023, the Company amended the 2022 Loan and Security Agreement (the “Second LSA Amendment”). The Second LSA Amendment (i) removed the adjusted quick ratio financial covenant to which the Company was previously subject, (ii) updated certain financial reporting requirements, (iii) reduced the letter of credit sublimit from $60.0 million to $45.0 million, and (iv) permitted a prepayment of the Delayed Draw Notes.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10, 2024, the Company amended the 2022 Loan and Security Agreement (the “Third LSA Amendment”). The Third LSA Amendment included (i) the waiver of certain matters and (ii) consent by SVB to allow the Company to enter into the Third Notes Amendment.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12, 2024, the Company amended the 2022 Loan and Security Agreement (the “Fourth LSA Amendment”). The Fourth LSA Amendment included (i) consent by SVB to enter into the Fourth Notes Amendment and (ii) consent to the incurrence by the Company of up to $6.0 million of additional Delayed Draw Notes.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13, 2024, the Company amended the 2022 Loan and Security Agreement (the “Fifth LSA Amendment”). The Fifth LSA Amendment included consent by SVB to allow the Company to incur up to $4.0 million of additional Delayed Draw Notes and to enter into the August 2024 Securities Purchase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Loan and Security Agreement Waiver related to Going Concern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2023, because the Company’s management concluded that there is substantial doubt, which was not alleviated, about our ability to continue as a going concern for at least one year from the date of issuance of the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audited financial statements, the associated financial statement opinion included a going concern explanatory paragraph. The Company entered into a Waiver Agreement on September 26, 2024 with SVB (the “First Waiver”), in which SVB waived any Default or Event of Default (each as defined in the 2022 Loan and Security Agreement) related to the covenant non-compliance resulting from the going concern explanatory paragraph.</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28, 2024, the Company entered into a Waiver Agreement with SVB (the “Second Waiver”), pursuant to which SVB waived any Default or Event of Default (i) as a result of the Company entering into and performing its obligations under the Lease Modification Agreement (as defined in the Second Waiver), and (ii) as a result of the NPA Waived Matters. On June 27, 2025, SVB waived certain non-compliance relating to financial reporting.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and as of the date the consolidated financial statements were issued, the Company is in compliance with all financial covenants related to the 2022 Loan and Security Agreement. Additionally, at December 31, 2024, there were no revolving borrowings outstanding under the 2022 Loan and Security Agreement. Outstanding letters of credit as of December 31, 2024 and December 31, 2023 were permitted under the 2022 Loan and Security Agreement and totaled $48.3 million and $37.6 million, respectively.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on April 11, 2025, the Company entered into the SVB Amendment, by and among the Company, certain of its domestic subsidiaries party thereto, as co-borrowers (together with the Company, the “Borrowers”), and Silicon Valley Bank, a division of First-Citizens Bank &amp; Trust Company (“SVB”), as lender, which amends the 2022 Loan and Security Agreement. Among other things, the SVB Amendment provides for (i) certain waivers in connection with the consummation of the transactions contemplated by the April 2025 Securities Purchase Agreements, (ii) the reduction of the revolving line of credit from $60.0 million to $35.0 million and the reduction of the letter of credit sublimit from $45.0 million to $35.0 million, and (iii) amendments to certain of the covenants under the 2022 Loan and Security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2020 Québec Credit Facility</w:t>
      </w:r>
      <w:r>
        <w:rPr>
          <w:rFonts w:ascii="Times New Roman" w:cs="Times New Roman" w:eastAsia="Times New Roman" w:hAnsi="Times New Roman"/>
          <w:sz w:val="14"/>
          <w:szCs w:val="14"/>
          <w:color w:val="auto"/>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 The Company was in compliance with all financial covenants related to the 2020 Québec Credit Facility during fiscal year 2024 until its termination on July 29,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Throughout 2024 and 2023, the Company entered into multiple cash collateral agreements in connection with the issuance of letters of credit and corporate credit card programs. At December 31, 2024 and 2023, the Company had $51.3 million and $40.7 million, respectively, of cash collateral which is reported as restricted cash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Redeemable Preferred Stock</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August 13, 2024, the Company entered into the August 2024 Preferred Financing of an aggregate of 43.3 million newly issued shares of Series A Preferred Stock, in exchange for cash consideration in an aggregate amount of approximately $43.3 million. The sale of the Series A Preferred Stock pursuant to the August 2024 Preferred Financing took place in two tranches. The first tranche, comprised of approximately 14.7 million shares of Series A Preferred Stock for an aggregate purchase price of approximately $14.7 million, closed on August 13, 2024. The second tranche, comprised of approximately 28.6 million shares of Series A Preferred Stock in total for an aggregate purchase price of approximately $28.6 million, closed on November 6, 2024, following the satisfaction of certain closing conditions set forth in the August 2024 Securities Purchase Agreements, including the filing of the Annual Report and the Company’s Quarterly Reports on Form 10-Q for the fiscal quarters ended March 31, 2024 and June 30, 2024 (collectively, the “SEC Documents”). The August 2024 Securities Purchase Agreements required the Company to hold a special meeting of stockholders within 30 calendar days of the filing of the SEC Documents for the purpose of obtaining stockholder approval of proposals to issue shares of common stock to the August 2024 Purchasers in connection with the conversion of the Series A Preferred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into common stock that would, absent such approval, violate Nasdaq Rules 5635(b), (c) and (d) (the “2024 Stockholder Approval”). The August 2024 Securities Purchase Agreements also require the Company to file a registration statement under the Securities Act within 30 calendar days of the filing of the SEC Documents with respect to the resale of shares of common stock receivable upon conversion of the Preferred Stock. Following receipt of 2024 Stockholder Approval, all 43.3 million shares of the Series A Preferred Stock are convertible into shares of common stock. At the Special Meeting of Stockholders held on September 30, 2024 (the “2024 Special Meeting”), the Company obtained the 2024 Stockholder Approval.</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recognized a loss on preferred stock issuance of $83.8 million for the year ended December 31, 2024, attributable to the August 2024 Securities Purchase Agreements. The Company identified the following two freestanding financial instruments issued in connection with the transaction, (a) Mezzanine equity-classified Series A Preferred Stock and (b) Liability-classified forward contract for commitments of investors to purchase, and commitments of the Company to sell, additional Series A Preferred Stock. As of the transaction inception, these instruments had an aggregate fair value of $98.5 million and the Company received $14.7 million from the first tranche closing, resulting in a $83.8 million loss on preferred stock issuance. The loss on preferred stock issuance for the year ended December 31, 2024 consists of $82.5 million related to the two freestanding financial instruments discussed above, as well as $1.3 million associated with the recognition of the Preferred Stock Participation Right, as discussed below.</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the August 2024 Securities Purchase Agreements, the transaction included a Liability-classified forward contract for commitments of investors to purchase, and commitments of the Company to sell, additional Series A Preferred Stock. This commitment ended upon the issuance of the Second Tranche of Series A Preferred Stock in November 2024. The Company recognized a change in fair value of the forward contract of $28.7 million as the remeasurement reflecting fluctuations in the underlying variables and assumptions from inception on August 13, 2024 through the final closing of the Second Tranche on November 6, 2024.</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Francis Davidson, the Company’s former Chief Executive Officer (“CEO”) and a former member of the Board, and Sanjay Banker, a member of the Board, are parties to the August 2024 Securities Purchase Agreements, with commitments of approximately $1.5 million, and $0.1 million, respectively, in the August 2024 Preferred Financing.</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August 2024 Securities Purchase Agreements grant the August 2024 Purchasers the right to purchase up to 25% of any equity offering within a Subsequent Financing. The August 2024 Purchasers are entitled to participate on a pro-rata basis (determined by their proportionate participation in the August 2024 Preferred Financing) at a purchase price equal to 75% of the purchase price of any other investor in such Subsequent Financing. The Company recognized a liability for the Preferred Stock Participation Right of $1.3 million within other current liabilities in the consolidated balance sheets as of December 31, 2024. The change in fair value of the participation right recognized from inception on August 13, 2024 through the year ended on December 31, 2024 was not significant.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August 2024 Securities Purchase Agreements contain other representations, warranties and covenants of the Company and the August 2024 Purchasers.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discussed in Note 17,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on April 11, 2025, the Company entered into the April 2025 Security Purchase Agreements with certain qualified institutional buyers or accredited investors.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Certificate of Designation; Other Terms of Preferred Stock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August 2024 Preferred Financing, the Company filed the Certificate of Designation (the “Certificate of Designation”) creating the Series A Preferred Stock and establishing the rights, preferences and other terms of the Series A 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Holders of the Series A Preferred Stock are entitled to receive, when, as and if declared by the Board, cumulative dividends in cash (subject to conditions that a cash payment (i) may not violate the Company’s debt agreements and (ii) may not be made without the prior written consent of holders of at least 70% of the outstanding Series A Preferred Stock) or, if not declared and paid in cash, receive an accrual of cumulative dividends as PIK on the Liquidation Preference, at a rate of (a) fifteen percent (15.00%) from August 13, 2024 through August 13, 2025, (b) ten percent (10.00%) from August 14, 2025 through August 13, 2027, and (c) five percent (5.00%) from August 14, 2027 through August 13, 2028 on the sum of (i)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 million of FCF (representing cash used in operating activities plus cash used in investing activities) over a twelve month period; or (y) August 13, 2028.</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paid-in-kind its dividend on the Series A Preferred Stock of $5.1 million for the year ended December 31, 2024. PIK dividends are recognized using the fair value of the Series A Preferred Stock at the commitment date, which is the issuance date of each tranche for non-discretionary PIK dividends.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Following the Company obtaining the 2024 Stockholder Approval, holders of the Series A Preferred Stock are entitled to vote on an as-converted-to-common-stock basis as provided in the Certificate of Designation, are entitled to 0.7 vote for each share of Series A Preferred Stock they hold, and powers of the holders of the common stock, and are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 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other than in connection with the 2024 Stockholder Approval, prior to July 1, 2025 increase the number of authorized shares of common stock, (v) issue more than a number of shares of common stock set forth in the Certificate of Designation prior to July 1, 2025, or (vi) issue any Series A Preferred Stock except pursuant to the terms of the August 2024 Securities 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lease agreements with lease and non-lease components and has elected to utilize the practical expedient to account for lease and non-lease components together in the consolidated statements of operations and comprehensive loss for all classes of underlying assets.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lease ROU assets are included within operating lease ROU assets in the consolidated balance sheets. The corresponding operating lease liabilities are included within current operating lease liabilities and non-current operating lease liabilities in the consolidated balance sheets. ROU assets represent the Company’s right to use an underlying asset for the lease term and lease liabilities represent the Company’s obligation to make lease payments arising from the lease.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expense for fixed operating lease payments is recognized on a straight-line basis over the lease term. The Company’s lease terms may include options to extend or terminate the lease when it is reasonably certain that it will exercise that option.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lease expense are as follows (in thousands):</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180" w:type="dxa"/>
            <w:vAlign w:val="bottom"/>
            <w:tcBorders>
              <w:bottom w:val="single" w:sz="8" w:color="CCEEFF"/>
            </w:tcBorders>
            <w:gridSpan w:val="2"/>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292,621</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317,495</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0" w:type="dxa"/>
            <w:vAlign w:val="bottom"/>
          </w:tcPr>
          <w:p>
            <w:pPr>
              <w:spacing w:after="0"/>
              <w:rPr>
                <w:sz w:val="17"/>
                <w:szCs w:val="17"/>
                <w:color w:val="auto"/>
              </w:rPr>
            </w:pPr>
          </w:p>
        </w:tc>
        <w:tc>
          <w:tcPr>
            <w:tcW w:w="1160" w:type="dxa"/>
            <w:vAlign w:val="bottom"/>
            <w:tcBorders>
              <w:top w:val="single" w:sz="8" w:color="929292"/>
              <w:bottom w:val="single" w:sz="8" w:color="929292"/>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299,649</w:t>
            </w:r>
          </w:p>
        </w:tc>
        <w:tc>
          <w:tcPr>
            <w:tcW w:w="20" w:type="dxa"/>
            <w:vAlign w:val="bottom"/>
            <w:tcBorders>
              <w:top w:val="single" w:sz="8" w:color="929292"/>
              <w:bottom w:val="single" w:sz="8" w:color="929292"/>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740" w:type="dxa"/>
            <w:vAlign w:val="bottom"/>
            <w:tcBorders>
              <w:top w:val="single" w:sz="8" w:color="929292"/>
              <w:bottom w:val="single" w:sz="8" w:color="929292"/>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323,632</w:t>
            </w:r>
          </w:p>
        </w:tc>
        <w:tc>
          <w:tcPr>
            <w:tcW w:w="20" w:type="dxa"/>
            <w:vAlign w:val="bottom"/>
            <w:tcBorders>
              <w:top w:val="single" w:sz="8" w:color="929292"/>
              <w:bottom w:val="single" w:sz="8" w:color="929292"/>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 related to operating leases is as follows (in thousands):</w:t>
            </w:r>
          </w:p>
        </w:tc>
        <w:tc>
          <w:tcPr>
            <w:tcW w:w="20" w:type="dxa"/>
            <w:vAlign w:val="bottom"/>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740" w:type="dxa"/>
            <w:vAlign w:val="bottom"/>
            <w:tcBorders>
              <w:bottom w:val="single" w:sz="8" w:color="929292"/>
            </w:tcBorders>
          </w:tcPr>
          <w:p>
            <w:pPr>
              <w:spacing w:after="0" w:line="20" w:lineRule="exact"/>
              <w:rPr>
                <w:sz w:val="1"/>
                <w:szCs w:val="1"/>
                <w:color w:val="auto"/>
              </w:rPr>
            </w:pPr>
          </w:p>
        </w:tc>
        <w:tc>
          <w:tcPr>
            <w:tcW w:w="2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2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5"/>
          </w:tcPr>
          <w:p>
            <w:pPr>
              <w:jc w:val="right"/>
              <w:ind w:right="9"/>
              <w:spacing w:after="0"/>
              <w:rPr>
                <w:sz w:val="20"/>
                <w:szCs w:val="20"/>
                <w:color w:val="auto"/>
              </w:rPr>
            </w:pPr>
            <w:r>
              <w:rPr>
                <w:rFonts w:ascii="Times New Roman" w:cs="Times New Roman" w:eastAsia="Times New Roman" w:hAnsi="Times New Roman"/>
                <w:sz w:val="14"/>
                <w:szCs w:val="14"/>
                <w:color w:val="auto"/>
              </w:rPr>
              <w:t>Year ended December 31,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3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1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 operating leases</w:t>
            </w:r>
          </w:p>
        </w:tc>
        <w:tc>
          <w:tcPr>
            <w:tcW w:w="118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300,247</w:t>
            </w: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285,080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operating lease ROU assets obtained in exchange for operating lease liabilities</w:t>
            </w:r>
            <w:r>
              <w:rPr>
                <w:rFonts w:ascii="Times New Roman" w:cs="Times New Roman" w:eastAsia="Times New Roman" w:hAnsi="Times New Roman"/>
                <w:sz w:val="18"/>
                <w:szCs w:val="18"/>
                <w:color w:val="auto"/>
                <w:vertAlign w:val="superscript"/>
              </w:rPr>
              <w:t>(1)</w:t>
            </w:r>
          </w:p>
        </w:tc>
        <w:tc>
          <w:tcPr>
            <w:tcW w:w="118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(119,464)</w:t>
            </w:r>
          </w:p>
        </w:tc>
        <w:tc>
          <w:tcPr>
            <w:tcW w:w="20" w:type="dxa"/>
            <w:vAlign w:val="bottom"/>
          </w:tcPr>
          <w:p>
            <w:pPr>
              <w:spacing w:after="0"/>
              <w:rPr>
                <w:sz w:val="19"/>
                <w:szCs w:val="19"/>
                <w:color w:val="auto"/>
              </w:rPr>
            </w:pPr>
          </w:p>
        </w:tc>
        <w:tc>
          <w:tcPr>
            <w:tcW w:w="84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205,285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lease terminations gain</w:t>
            </w:r>
            <w:r>
              <w:rPr>
                <w:rFonts w:ascii="Times New Roman" w:cs="Times New Roman" w:eastAsia="Times New Roman" w:hAnsi="Times New Roman"/>
                <w:sz w:val="18"/>
                <w:szCs w:val="18"/>
                <w:color w:val="auto"/>
                <w:vertAlign w:val="superscript"/>
              </w:rPr>
              <w:t>(1)</w:t>
            </w:r>
          </w:p>
        </w:tc>
        <w:tc>
          <w:tcPr>
            <w:tcW w:w="1180" w:type="dxa"/>
            <w:vAlign w:val="bottom"/>
            <w:gridSpan w:val="2"/>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93,175</w:t>
            </w: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200" w:hanging="190"/>
        <w:spacing w:after="0" w:line="244" w:lineRule="auto"/>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2"/>
          <w:szCs w:val="12"/>
          <w:color w:val="auto"/>
        </w:rPr>
        <w:t>Operating ROU assets declines and early lease termination gains are primarily due to the impact of lease terminations related to the portfolio optimization program. These lease terminations primarily occurred during</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2"/>
          <w:szCs w:val="12"/>
          <w:color w:val="auto"/>
        </w:rPr>
        <w:t>the first half of 2024.</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weighted-average remaining lease term was 6.8 years and 7.3 years, respectively, and the weighted-average discount rate used to determine the net present value of the lease liabilities was 9.4% and 9.6%,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2024, remaining maturities for operating lease liabilities are as follows (in thousands):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9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272,692</w:t>
            </w:r>
          </w:p>
        </w:tc>
      </w:tr>
      <w:tr>
        <w:trPr>
          <w:trHeight w:val="32"/>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264,745</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235,715</w:t>
            </w:r>
          </w:p>
        </w:tc>
      </w:tr>
      <w:tr>
        <w:trPr>
          <w:trHeight w:val="32"/>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209,200</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163,500</w:t>
            </w:r>
          </w:p>
        </w:tc>
      </w:tr>
      <w:tr>
        <w:trPr>
          <w:trHeight w:val="32"/>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462,277</w:t>
            </w:r>
          </w:p>
        </w:tc>
      </w:tr>
      <w:tr>
        <w:trPr>
          <w:trHeight w:val="181"/>
        </w:trPr>
        <w:tc>
          <w:tcPr>
            <w:tcW w:w="9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lease payments</w:t>
            </w: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1,608,129</w:t>
            </w:r>
          </w:p>
        </w:tc>
      </w:tr>
      <w:tr>
        <w:trPr>
          <w:trHeight w:val="32"/>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(427,224)</w:t>
            </w:r>
          </w:p>
        </w:tc>
      </w:tr>
      <w:tr>
        <w:trPr>
          <w:trHeight w:val="208"/>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liabilities, net</w:t>
            </w:r>
          </w:p>
        </w:tc>
        <w:tc>
          <w:tcPr>
            <w:tcW w:w="480" w:type="dxa"/>
            <w:vAlign w:val="bottom"/>
            <w:tcBorders>
              <w:top w:val="single" w:sz="8" w:color="929292"/>
              <w:bottom w:val="single" w:sz="8" w:color="929292"/>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4"/>
                <w:szCs w:val="14"/>
                <w:color w:val="auto"/>
              </w:rPr>
              <w:t>1,180,905</w:t>
            </w:r>
          </w:p>
        </w:tc>
      </w:tr>
      <w:tr>
        <w:trPr>
          <w:trHeight w:val="20"/>
        </w:trPr>
        <w:tc>
          <w:tcPr>
            <w:tcW w:w="9800" w:type="dxa"/>
            <w:vAlign w:val="bottom"/>
          </w:tcPr>
          <w:p>
            <w:pPr>
              <w:spacing w:after="0" w:line="20" w:lineRule="exact"/>
              <w:rPr>
                <w:sz w:val="1"/>
                <w:szCs w:val="1"/>
                <w:color w:val="auto"/>
              </w:rPr>
            </w:pPr>
          </w:p>
        </w:tc>
        <w:tc>
          <w:tcPr>
            <w:tcW w:w="48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operating lease liabilities noted above, at December 31, 2024, the Company entered into leases that have not yet commenced with future lease payments totaling $625.2 million, excluding purchase options, that are not yet recorded on the consolidated balance sheets. These leases will commence between 2025 and 2026 with non-cancelable lease terms of five to 20 years. Certain leases do not have a scheduled commencement date, as they are currently subject to renegotiation.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the Company identified an impairment of its operating lease ROU asset and recorded a non-cash impairment charge in the amount of $13.2 million and $58.5 million for the years ended December 31, 2024 and 2023, respectively. The impairment charge relates to certain underperforming properties and is included within impairment losses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Warrants and Stockholders' Deficit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consolidated statements of stockholders’ deficit reflect the consummation of the Business Combination on January 18, 2022. As Legacy Sonder was deemed the accounting acquirer in the Business Combination with GMII, all periods prior to the closing date reflect the balances and activity of Legacy Sonder. The balances at December 31, 2021 from the consolidated financial statements of Legacy Sonder as of that date, share activity (redeemable convertible preferred stock, exchangeable shares, and common stock), and per share amounts were retroactively adjusted, where applicable, using the recapitalization exchange ratio of 1.4686. All redeemable convertible preferred stock classified as mezzanine equity was converted into common stock and reclassified into permanent equity as a result of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 Warrants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consummation of the Business Combination, (i) the Company’s Series A and Series B preferred stock warrants were converted into 7,761 post-combination shares of the Company’s common stock for a value of $1.2 million, and (ii) the former Series C and Series D preferred stock warrants automatically converted into warrants to purchase shares of the Company’s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Series C and Series D preferred stock warrants are accounted for as equity in accordance with ASC 815-40, </w:t>
      </w:r>
      <w:r>
        <w:rPr>
          <w:rFonts w:ascii="Times New Roman" w:cs="Times New Roman" w:eastAsia="Times New Roman" w:hAnsi="Times New Roman"/>
          <w:sz w:val="14"/>
          <w:szCs w:val="14"/>
          <w:i w:val="1"/>
          <w:iCs w:val="1"/>
          <w:color w:val="auto"/>
        </w:rPr>
        <w:t>Derivatives and Hedging – Contracts on an Entity’s Own Equity</w:t>
      </w:r>
      <w:r>
        <w:rPr>
          <w:rFonts w:ascii="Times New Roman" w:cs="Times New Roman" w:eastAsia="Times New Roman" w:hAnsi="Times New Roman"/>
          <w:sz w:val="14"/>
          <w:szCs w:val="14"/>
          <w:color w:val="auto"/>
        </w:rPr>
        <w:t xml:space="preserve"> (“ASC 815-40”).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consummation of the Business Combination, the Company reclassified $2.1 million related to such warrants from other non-current liabilities to equity in the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 Warrants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Former Series C and D Preferred Stock Warrants</w:t>
      </w:r>
      <w:r>
        <w:rPr>
          <w:rFonts w:ascii="Times New Roman" w:cs="Times New Roman" w:eastAsia="Times New Roman" w:hAnsi="Times New Roman"/>
          <w:sz w:val="14"/>
          <w:szCs w:val="14"/>
          <w:color w:val="auto"/>
        </w:rPr>
        <w:t>: In connection with the Business Combination as indicated above, the Company had outstanding warrants to purchase 21,281 shares of common stock as of December 31, 2024 and December 31, 2023.</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Delayed Draw Warrants</w:t>
      </w:r>
      <w:r>
        <w:rPr>
          <w:rFonts w:ascii="Times New Roman" w:cs="Times New Roman" w:eastAsia="Times New Roman" w:hAnsi="Times New Roman"/>
          <w:sz w:val="14"/>
          <w:szCs w:val="14"/>
          <w:color w:val="auto"/>
        </w:rPr>
        <w:t>: The Delayed Draw Warrants which were outstanding as of December 31, 2023 were issued to the NPA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NPA Purchasers were also provided with customary registration rights for the shares issuable upon exercise of the Delayed Draw Warrants. In connection with the Third Notes Amendment to the Note Purchase Agreement, the NPA Purchasers received New Delayed Draw Warrants to purchase an aggregate of 475,264 shares of the Company’s common stock, each with an exercise price of $0.01 per share and an expiration date five years after the issuance date, and the previously issued Delayed Draw Warrants to the NPA Purchasers were canceled. In August 2024, all New Delayed Draw Warrants were exercised for cash.</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SPAC Warrants</w:t>
      </w:r>
      <w:r>
        <w:rPr>
          <w:rFonts w:ascii="Times New Roman" w:cs="Times New Roman" w:eastAsia="Times New Roman" w:hAnsi="Times New Roman"/>
          <w:sz w:val="14"/>
          <w:szCs w:val="14"/>
          <w:color w:val="auto"/>
        </w:rPr>
        <w:t xml:space="preserve">: The Public Warrants remained outstanding upon consummation of the Business Combination and became exercisable for whole shares of common stock. The Public Warrants will expire on January 18, 2027, or earlier upon redemption or liquidation. The Private Placement Warrants had terms and provisions that were identical to those of the Public Warrants, except that the Private Placement Warrants could be physical (cash) or net share (cashless) settled and were not redeemable, so long as they were held by Gores Metropoulos Sponsor II, LLC (the “Sponsor”) or its permitted transferees, and are entitled to certain registration rights. As discussed in Note 5, </w:t>
      </w:r>
      <w:r>
        <w:rPr>
          <w:rFonts w:ascii="Times New Roman" w:cs="Times New Roman" w:eastAsia="Times New Roman" w:hAnsi="Times New Roman"/>
          <w:sz w:val="14"/>
          <w:szCs w:val="14"/>
          <w:i w:val="1"/>
          <w:iCs w:val="1"/>
          <w:color w:val="auto"/>
        </w:rPr>
        <w:t>Fair Value Measurement and Financial Instruments,</w:t>
      </w:r>
      <w:r>
        <w:rPr>
          <w:rFonts w:ascii="Times New Roman" w:cs="Times New Roman" w:eastAsia="Times New Roman" w:hAnsi="Times New Roman"/>
          <w:sz w:val="14"/>
          <w:szCs w:val="14"/>
          <w:color w:val="auto"/>
        </w:rPr>
        <w:t xml:space="preserve"> during the three months ended March 31, 2022, the Private Placement Warrants were transferred by the warrant holders in accordance with the terms of the Private Placement Warrant agreement and became Public Warrants.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SPAC Warrants are accounted for as liabilities, as there are certain terms and features of the warrants that do not qualify for equity classification in accordance with ASC 815-40. The fair value of the SPAC Warrants at December 31, 2024 was a liability of $0.2 million and was recorded in other non-current liabilities in the consolidated balance sheet. At December 31, 2023, the fair value of the Public Warrants was a liability of $0.3 million and was recorded in other non-current liabilities in the consolidated balance sheets. During 2023, the Company recorded $12.2 million as an adjustment to the initial recorded fair value of $23.7 million for the Public Warrants upon consummation of the Business Combination. This adjustment was made as a $12.2 million reduction to the originally recorded additional paid in capital and a corresponding reduction to other expense in the consolidated statements of operations and comprehensive loss. The change in fair value of $11.1 million for the year ended December 31, 2023 is reflected as non-operating income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Exchangeable Stock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consummation of the Business Combination on January 18, 2022, each share of Sonder Canada Inc. (“Legacy Sonder Canada”) exchangeable common stock (“Legacy Sonder Canada Exchangeable Stock” and collectively, “Legacy Sonder Canada Exchangeable Shares”) was exchanged into a new series of the same class of virtually identical Legacy Sonder Canada Exchangeable Common Stock (“Post-Combination 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the following authorized and outstanding Post-Combination Exchangeable Common Stock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tcPr>
          <w:p>
            <w:pPr>
              <w:spacing w:after="0"/>
              <w:rPr>
                <w:sz w:val="16"/>
                <w:szCs w:val="16"/>
                <w:color w:val="auto"/>
              </w:rPr>
            </w:pPr>
          </w:p>
        </w:tc>
        <w:tc>
          <w:tcPr>
            <w:tcW w:w="16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32"/>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Authorized</w:t>
            </w:r>
          </w:p>
        </w:tc>
        <w:tc>
          <w:tcPr>
            <w:tcW w:w="2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712,982</w:t>
            </w:r>
          </w:p>
        </w:tc>
      </w:tr>
      <w:tr>
        <w:trPr>
          <w:trHeight w:val="32"/>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Price Per Share</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Carrying Value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16,973</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21,960</w:t>
            </w:r>
          </w:p>
        </w:tc>
      </w:tr>
      <w:tr>
        <w:trPr>
          <w:trHeight w:val="32"/>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9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Aggregate Liquidation Preference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21,960</w:t>
            </w:r>
          </w:p>
        </w:tc>
      </w:tr>
      <w:tr>
        <w:trPr>
          <w:trHeight w:val="32"/>
        </w:trPr>
        <w:tc>
          <w:tcPr>
            <w:tcW w:w="7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carrying value of the Post-Combination Exchangeable Shares is included in additional paid-in capital in the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Redeemable Convertible Preferred Stock</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consummation of the Business Combination, all the Company’s shares of redeemable convertible preferred stock were automatically converted into shares of post-combination common stock for a value of $518.8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and 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certificate of amendment of amended and restated certificate of incorporation authorized shares of all classes of capital stock were increased to 409,309,144 shares, consisting of: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159,309,144 shares of general common stock, including: (i) 157,309,144 shares of common stock, and (ii) 2,000,000 shares of special voting common stock, par value $0.001 per share, and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250,000,000 shares of Preferred Stock, par value $0.0001 per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The Company had reserved the following shares of common stock for future issuance:</w:t>
            </w: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403"/>
        </w:trPr>
        <w:tc>
          <w:tcPr>
            <w:tcW w:w="7380" w:type="dxa"/>
            <w:vAlign w:val="bottom"/>
          </w:tcPr>
          <w:p>
            <w:pPr>
              <w:spacing w:after="0"/>
              <w:rPr>
                <w:sz w:val="24"/>
                <w:szCs w:val="24"/>
                <w:color w:val="auto"/>
              </w:rPr>
            </w:pPr>
          </w:p>
        </w:tc>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December 31, 2024</w:t>
            </w:r>
          </w:p>
        </w:tc>
        <w:tc>
          <w:tcPr>
            <w:tcW w:w="19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32"/>
        </w:trPr>
        <w:tc>
          <w:tcPr>
            <w:tcW w:w="73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Post-Combination Exchangeable Common Shares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712,982</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stock options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2,129,040</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2,685,922</w:t>
            </w:r>
          </w:p>
        </w:tc>
      </w:tr>
      <w:tr>
        <w:trPr>
          <w:trHeight w:val="32"/>
        </w:trPr>
        <w:tc>
          <w:tcPr>
            <w:tcW w:w="7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restricted stock units (“RSUs”)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236,985</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359,175</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market stock units (“MSUs”)</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531,996</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567,500</w:t>
            </w:r>
          </w:p>
        </w:tc>
      </w:tr>
      <w:tr>
        <w:trPr>
          <w:trHeight w:val="32"/>
        </w:trPr>
        <w:tc>
          <w:tcPr>
            <w:tcW w:w="7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Public Warrants liability</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724,997</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724,997</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issuable pursuant to Earn Out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725,000</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725,000</w:t>
            </w:r>
          </w:p>
        </w:tc>
      </w:tr>
      <w:tr>
        <w:trPr>
          <w:trHeight w:val="32"/>
        </w:trPr>
        <w:tc>
          <w:tcPr>
            <w:tcW w:w="7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Delayed Draw Notes warrants liability</w:t>
            </w:r>
          </w:p>
        </w:tc>
        <w:tc>
          <w:tcPr>
            <w:tcW w:w="2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123,750</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former Series C and D preferred stock warrants liability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r>
      <w:tr>
        <w:trPr>
          <w:trHeight w:val="32"/>
        </w:trPr>
        <w:tc>
          <w:tcPr>
            <w:tcW w:w="7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Employee Stock Purchase 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463,930</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353,024</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2021 Equity Incentive Plan</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8,092,529</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569,715</w:t>
            </w:r>
          </w:p>
        </w:tc>
      </w:tr>
      <w:tr>
        <w:trPr>
          <w:trHeight w:val="32"/>
        </w:trPr>
        <w:tc>
          <w:tcPr>
            <w:tcW w:w="7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grant under the 2023 Inducement Equity Incentive 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326,677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141,800</w:t>
            </w: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common stock reserved for future issuance</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13,803,507</w:t>
            </w:r>
          </w:p>
        </w:tc>
        <w:tc>
          <w:tcPr>
            <w:tcW w:w="10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6,985,146</w:t>
            </w:r>
          </w:p>
        </w:tc>
      </w:tr>
      <w:tr>
        <w:trPr>
          <w:trHeight w:val="20"/>
        </w:trPr>
        <w:tc>
          <w:tcPr>
            <w:tcW w:w="7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Equity Incentive Plans and Stock-Based Compensation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Incentive Plans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u w:val="single" w:color="auto"/>
          <w:color w:val="auto"/>
        </w:rPr>
        <w:t>2013 and 2019 Equity Incentive Plans</w:t>
      </w:r>
      <w:r>
        <w:rPr>
          <w:rFonts w:ascii="Times New Roman" w:cs="Times New Roman" w:eastAsia="Times New Roman" w:hAnsi="Times New Roman"/>
          <w:sz w:val="14"/>
          <w:szCs w:val="14"/>
          <w:color w:val="auto"/>
        </w:rPr>
        <w:t>: Prior to consummation of the Business Combination, Legacy Sonder provided for the grant of stock-based awards to purchase or directly issue shares of common stock to employees, directors, and consultants through its 2013 and 2019 Equity Incentive Plans (the “Legacy Equity Incentive Plans”). Options were granted at a price per share equal to the fair value of the underlying common stock at the date of grant. Stock options generally had a 10-year contractual term and vest over a four-year period starting from the date specified in each agreement.</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Each Legacy Sonder stock option from the Legacy Equity Incentive Plans that was outstanding immediately prior to consummation of the Business Combination, whether vested or unvested, was converted into an option to acquire a number of shares of common stock (the “Exchanged Options”) equal to the product of: (i) the number of shares of Legacy Sonder common stock subject to such Legacy Sonder option immediately prior to consummation of the Business Combination; and (ii) the recapitalization option exchange ratio. The Exchanged Options are exercisable at an exercise price per share equal to: (i) the exercise price per share of such Legacy Sonder option immediately prior to consummation of the Business Combination; divided by (ii) the recapitalization exchange ratio. Except as specifically provided in the Agreement and Plan of Merger, dated April 29, 2021 (as amended by the Amendment No. 1 to the Agreement and Plan of Merger dated as of October 17, 2021), (collectively, the “Merger Agreement”), following the Business Combination, each Exchanged Option will continue to be governed by the same terms and conditions as were applicable to the corresponding former Legacy Sonder option immediately prior to the Business Combination. All stock option activity was retroactively restated to reflect the Exchanged Options.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Sonder Holdings Inc. 2021 Management Equity Incentive Plan</w:t>
      </w:r>
      <w:r>
        <w:rPr>
          <w:rFonts w:ascii="Times New Roman" w:cs="Times New Roman" w:eastAsia="Times New Roman" w:hAnsi="Times New Roman"/>
          <w:sz w:val="14"/>
          <w:szCs w:val="14"/>
          <w:color w:val="auto"/>
        </w:rPr>
        <w:t>: In connection with the Business Combination, GMII’s stockholders approved the 2021 Management Equity Incentive Plan (the “2021 Management Equity Incentive Plan”). Employees, including directors and officers, and consultants who receive awards under the 2021 Management Equity Incentive Plan may receive their pro-rata share of awards up to an aggregate of 725,000 shares of common stock that will vest upon the common stock achieving certain benchmark share prices as contemplated by the Merger Agreement. If these benchmark share prices are not achieved within the period specified in the Merger Agreement, the unvested awards will not be issued.</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Sonder Holdings Inc. 2021 Equity Incentive Plan</w:t>
      </w:r>
      <w:r>
        <w:rPr>
          <w:rFonts w:ascii="Times New Roman" w:cs="Times New Roman" w:eastAsia="Times New Roman" w:hAnsi="Times New Roman"/>
          <w:sz w:val="14"/>
          <w:szCs w:val="14"/>
          <w:color w:val="auto"/>
        </w:rPr>
        <w:t>: In connection with the Business Combination, GMII’s stockholders approved the 2021 Equity Incentive Plan (the “2021 Equity Incentive Plan”). The 2021 Equity Incentive Plan became effective upon consummation of the Business Combination and succeeds the Legacy Equity Incentive Plans. Under the 2021 Equity Incentive Plan, the Company may grant options, stock appreciation rights, restricted stock, RSUs, and performance awards to employees, directors, and consultants. Options are granted at a price per share equal to the fair value of the underlying common stock at the date of grant. Options granted are exercisable over a maximum term of 10 years from the date of grant. RSUs typically have a cliff vesting period of one year and continue to vest quarterly thereafter. The Company is authorized to issue up to 9,957,029 shares under this plan, of which 8,092,529 shares remain available for future grants at December 31, 2024.</w:t>
      </w:r>
    </w:p>
    <w:p>
      <w:pPr>
        <w:spacing w:after="0" w:line="3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total number of shares that may be issued under the 2021 Equity Incentive Plan will automatically increase on the first trading day of each calendar year, which began in calendar year 2022, by a number of shares equal to the lesser of: (i) 1,641,008 shares; (ii) 12.5% of the total number of shares outstanding as of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five percent (5.0%) of the total number of shares outstanding on the last day of the immediately preceding fiscal year; and (iv) a lesser number of shares determined by the administrator.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Sonder Holdings Inc. 2021 Employee Stock Purchase Plan</w:t>
      </w:r>
      <w:r>
        <w:rPr>
          <w:rFonts w:ascii="Times New Roman" w:cs="Times New Roman" w:eastAsia="Times New Roman" w:hAnsi="Times New Roman"/>
          <w:sz w:val="14"/>
          <w:szCs w:val="14"/>
          <w:color w:val="auto"/>
        </w:rPr>
        <w:t>: In connection with the Business Combination, GMII’s stockholders approved the 2021 Employee Stock Purchase Plan (the “ESPP”). The ESPP allows eligible employees to purchase shares of the Company’s common stock at 85.0% of stock price on the first trading day of the offering period or on the last day of the offering period, whichever is lower. Employees can contribute up to 15.0% of their eligible compensation to purchase shares. The ESPP provides for either (i) 27-month offering period, or (ii) such shorter period as may be established by the administrator from time to time. The Company is authorized to issue up to 463,930 shares under the ESPP, all of which remain available for future issuance as of December 31,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number of shares of common stock available for issuance under the ESPP will automatically be increased on the first day of each fiscal year, which began in calendar year 2022 and ends in the 2041 fiscal year, equal to the least of: (i) 328,202 shares of common stock; (ii) 2.5% of the total number of shares of common stock outstanding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one percent (0.1%) of the outstanding shares of Common Stock on the last day of the immediately preceding fiscal year; or (iv) a lesser number of shares determined by the administrator. On December 31, 2024, the Company determined to not automatically increase the number of shares of common stock available for issuance under the ESPP for the fiscal year ending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 Repricing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 2022 (the “Repricing Date”), the Company closed an offer to reprice certain eligible stock options, whether vested or unvested, with modified vesting terms such that all previously vested options became unvested on the Repricing Date. As a result of the repricing, the exercise price for a total of 1,014,631 options was reduced to $34.80 per share, or the closing price of the Company’s common stock on the Repricing Date. As a result of the repricing, total incremental expense to be recognized over the remaining requisite service period of the repriced options, beginning at the Repricing Date, was determined to be $8.4 million.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Stock-Based Compensation Expense</w:t>
            </w: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Total stock-based compensation expense is as follows (in thousands):</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2"/>
        </w:trPr>
        <w:tc>
          <w:tcPr>
            <w:tcW w:w="7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December 31,</w:t>
            </w:r>
          </w:p>
        </w:tc>
        <w:tc>
          <w:tcPr>
            <w:tcW w:w="1100" w:type="dxa"/>
            <w:vAlign w:val="bottom"/>
          </w:tcPr>
          <w:p>
            <w:pPr>
              <w:spacing w:after="0"/>
              <w:rPr>
                <w:sz w:val="18"/>
                <w:szCs w:val="18"/>
                <w:color w:val="auto"/>
              </w:rPr>
            </w:pPr>
          </w:p>
        </w:tc>
      </w:tr>
      <w:tr>
        <w:trPr>
          <w:trHeight w:val="32"/>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7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110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17,439</w:t>
            </w:r>
          </w:p>
        </w:tc>
      </w:tr>
      <w:tr>
        <w:trPr>
          <w:trHeight w:val="32"/>
        </w:trPr>
        <w:tc>
          <w:tcPr>
            <w:tcW w:w="7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r>
      <w:tr>
        <w:trPr>
          <w:trHeight w:val="32"/>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r>
      <w:tr>
        <w:trPr>
          <w:trHeight w:val="233"/>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Borders>
              <w:bottom w:val="single" w:sz="8" w:color="929292"/>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929292"/>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929292"/>
            </w:tcBorders>
          </w:tcPr>
          <w:p>
            <w:pPr>
              <w:spacing w:after="0" w:line="20" w:lineRule="exact"/>
              <w:rPr>
                <w:sz w:val="1"/>
                <w:szCs w:val="1"/>
                <w:color w:val="auto"/>
              </w:rPr>
            </w:pPr>
          </w:p>
        </w:tc>
        <w:tc>
          <w:tcPr>
            <w:tcW w:w="740" w:type="dxa"/>
            <w:vAlign w:val="bottom"/>
            <w:tcBorders>
              <w:top w:val="single" w:sz="8" w:color="CCEEFF"/>
              <w:bottom w:val="single" w:sz="8" w:color="929292"/>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929292"/>
            </w:tcBorders>
          </w:tcPr>
          <w:p>
            <w:pPr>
              <w:spacing w:after="0" w:line="20" w:lineRule="exact"/>
              <w:rPr>
                <w:sz w:val="1"/>
                <w:szCs w:val="1"/>
                <w:color w:val="auto"/>
              </w:rPr>
            </w:pPr>
          </w:p>
        </w:tc>
        <w:tc>
          <w:tcPr>
            <w:tcW w:w="1100" w:type="dxa"/>
            <w:vAlign w:val="bottom"/>
            <w:tcBorders>
              <w:top w:val="single" w:sz="8" w:color="CCEEFF"/>
              <w:bottom w:val="single" w:sz="8" w:color="929292"/>
            </w:tcBorders>
          </w:tcPr>
          <w:p>
            <w:pPr>
              <w:spacing w:after="0" w:line="20" w:lineRule="exact"/>
              <w:rPr>
                <w:sz w:val="1"/>
                <w:szCs w:val="1"/>
                <w:color w:val="auto"/>
              </w:rPr>
            </w:pPr>
          </w:p>
        </w:tc>
      </w:tr>
    </w:tbl>
    <w:p>
      <w:pPr>
        <w:spacing w:after="0" w:line="25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u w:val="single" w:color="auto"/>
          <w:color w:val="auto"/>
        </w:rPr>
        <w:t>Stock Options</w:t>
      </w:r>
      <w:r>
        <w:rPr>
          <w:rFonts w:ascii="Times New Roman" w:cs="Times New Roman" w:eastAsia="Times New Roman" w:hAnsi="Times New Roman"/>
          <w:sz w:val="14"/>
          <w:szCs w:val="14"/>
          <w:color w:val="auto"/>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years ended December 31, 2024 and 2023 the Company recorded stock-based compensation expense from stock options of approximately $2.5 million and $19.7 million, respectively.</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recognizes only the portion of the option award granted that is ultimately expected to vest as compensation expense and elects to recognize gross share-based compensation expense with actual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u w:val="single" w:color="auto"/>
          <w:color w:val="auto"/>
        </w:rPr>
        <w:t>Fair Value of Stock Options</w:t>
      </w:r>
      <w:r>
        <w:rPr>
          <w:rFonts w:ascii="Times New Roman" w:cs="Times New Roman" w:eastAsia="Times New Roman" w:hAnsi="Times New Roman"/>
          <w:sz w:val="14"/>
          <w:szCs w:val="14"/>
          <w:color w:val="auto"/>
        </w:rPr>
        <w:t>: The fair value of each stock option award is estimated using the Black-Scholes option-pricing model, which uses the fair value of the Company’s common stock and requires the input of the following subjective assumptions:</w:t>
      </w:r>
    </w:p>
    <w:p>
      <w:pPr>
        <w:spacing w:after="0" w:line="143"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The expected term for options granted to employees, officers, and directors is based on the historical pattern of option exercise behavior and the period of time they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to be outstanding.</w:t>
      </w:r>
    </w:p>
    <w:p>
      <w:pPr>
        <w:spacing w:after="0" w:line="141"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The expected volatility is based on the average volatility of similar public entities within the Company’s peer group as the Company’s stock has not been publicly trading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a long enough period to rely on its own expected volatility.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Expected Dividends. </w:t>
      </w:r>
      <w:r>
        <w:rPr>
          <w:rFonts w:ascii="Times New Roman" w:cs="Times New Roman" w:eastAsia="Times New Roman" w:hAnsi="Times New Roman"/>
          <w:sz w:val="14"/>
          <w:szCs w:val="14"/>
          <w:color w:val="auto"/>
        </w:rPr>
        <w:t>The dividend assumption is based on the Company’s historical experience. To date, Company has not paid any dividends on its common stock.</w:t>
      </w:r>
    </w:p>
    <w:p>
      <w:pPr>
        <w:spacing w:after="0" w:line="200"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The risk-free interest rate used in the valuation is the implied yield currently available on the United States Treasury zero-coupon issues, with a remaining term equal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expected life term of the Company’s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key assumptions used to determine the fair value of the Company’s stock options granted to employees, non-employees, officers, and 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6"/>
          </w:tcPr>
          <w:p>
            <w:pPr>
              <w:jc w:val="right"/>
              <w:ind w:right="1109"/>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jc w:val="center"/>
              <w:ind w:right="9"/>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46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center"/>
              <w:ind w:right="489"/>
              <w:spacing w:after="0"/>
              <w:rPr>
                <w:sz w:val="20"/>
                <w:szCs w:val="20"/>
                <w:color w:val="auto"/>
              </w:rPr>
            </w:pPr>
            <w:r>
              <w:rPr>
                <w:rFonts w:ascii="Times New Roman" w:cs="Times New Roman" w:eastAsia="Times New Roman" w:hAnsi="Times New Roman"/>
                <w:sz w:val="14"/>
                <w:szCs w:val="14"/>
                <w:color w:val="auto"/>
                <w:w w:val="93"/>
              </w:rPr>
              <w:t>n/a</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6.09 - 6.22</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w w:val="93"/>
              </w:rPr>
              <w:t>n/a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 - 51.2%</w:t>
            </w: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right="489"/>
              <w:spacing w:after="0"/>
              <w:rPr>
                <w:sz w:val="20"/>
                <w:szCs w:val="20"/>
                <w:color w:val="auto"/>
              </w:rPr>
            </w:pPr>
            <w:r>
              <w:rPr>
                <w:rFonts w:ascii="Times New Roman" w:cs="Times New Roman" w:eastAsia="Times New Roman" w:hAnsi="Times New Roman"/>
                <w:sz w:val="14"/>
                <w:szCs w:val="14"/>
                <w:color w:val="auto"/>
                <w:w w:val="93"/>
              </w:rPr>
              <w:t>n/a</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w w:val="93"/>
              </w:rPr>
              <w:t>n/a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- 4.40%</w:t>
            </w: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grant-date fair value per share</w:t>
            </w:r>
          </w:p>
        </w:tc>
        <w:tc>
          <w:tcPr>
            <w:tcW w:w="1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right="489"/>
              <w:spacing w:after="0"/>
              <w:rPr>
                <w:sz w:val="20"/>
                <w:szCs w:val="20"/>
                <w:color w:val="auto"/>
              </w:rPr>
            </w:pPr>
            <w:r>
              <w:rPr>
                <w:rFonts w:ascii="Times New Roman" w:cs="Times New Roman" w:eastAsia="Times New Roman" w:hAnsi="Times New Roman"/>
                <w:sz w:val="14"/>
                <w:szCs w:val="14"/>
                <w:color w:val="auto"/>
                <w:w w:val="93"/>
              </w:rPr>
              <w:t>n/a</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 $13.69</w:t>
            </w:r>
          </w:p>
        </w:tc>
        <w:tc>
          <w:tcPr>
            <w:tcW w:w="0" w:type="dxa"/>
            <w:vAlign w:val="bottom"/>
          </w:tcPr>
          <w:p>
            <w:pPr>
              <w:spacing w:after="0"/>
              <w:rPr>
                <w:sz w:val="1"/>
                <w:szCs w:val="1"/>
                <w:color w:val="auto"/>
              </w:rPr>
            </w:pPr>
          </w:p>
        </w:tc>
      </w:tr>
      <w:tr>
        <w:trPr>
          <w:trHeight w:val="435"/>
        </w:trPr>
        <w:tc>
          <w:tcPr>
            <w:tcW w:w="7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Option activity under the Company’s equity incentive plans is as follows (in thousands, except share data, and term in years):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Options Outstanding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8"/>
              </w:rPr>
              <w:t>Weighted-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w w:val="98"/>
              </w:rPr>
              <w:t>Weighted-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6"/>
              </w:rPr>
              <w:t>Average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w w:val="96"/>
              </w:rPr>
              <w:t>Average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Remaining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Number of</w:t>
            </w:r>
          </w:p>
        </w:tc>
        <w:tc>
          <w:tcPr>
            <w:tcW w:w="1200" w:type="dxa"/>
            <w:vAlign w:val="bottom"/>
            <w:gridSpan w:val="2"/>
          </w:tcPr>
          <w:p>
            <w:pPr>
              <w:jc w:val="center"/>
              <w:ind w:left="309"/>
              <w:spacing w:after="0"/>
              <w:rPr>
                <w:sz w:val="20"/>
                <w:szCs w:val="20"/>
                <w:color w:val="auto"/>
              </w:rPr>
            </w:pPr>
            <w:r>
              <w:rPr>
                <w:rFonts w:ascii="Times New Roman" w:cs="Times New Roman" w:eastAsia="Times New Roman" w:hAnsi="Times New Roman"/>
                <w:sz w:val="14"/>
                <w:szCs w:val="14"/>
                <w:color w:val="auto"/>
              </w:rPr>
              <w:t>Exercise Price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Contractual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Options</w:t>
            </w:r>
          </w:p>
        </w:tc>
        <w:tc>
          <w:tcPr>
            <w:tcW w:w="120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w w:val="99"/>
              </w:rPr>
              <w:t>per Option</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32"/>
        </w:trPr>
        <w:tc>
          <w:tcPr>
            <w:tcW w:w="4660" w:type="dxa"/>
            <w:vAlign w:val="bottom"/>
            <w:tcBorders>
              <w:bottom w:val="single" w:sz="8" w:color="CCEEFF"/>
            </w:tcBorders>
          </w:tcPr>
          <w:p>
            <w:pPr>
              <w:spacing w:after="0"/>
              <w:rPr>
                <w:sz w:val="2"/>
                <w:szCs w:val="2"/>
                <w:color w:val="auto"/>
              </w:rPr>
            </w:pPr>
          </w:p>
        </w:tc>
        <w:tc>
          <w:tcPr>
            <w:tcW w:w="1600" w:type="dxa"/>
            <w:vAlign w:val="bottom"/>
            <w:tcBorders>
              <w:bottom w:val="single" w:sz="8" w:color="92929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929292"/>
            </w:tcBorders>
          </w:tcPr>
          <w:p>
            <w:pPr>
              <w:spacing w:after="0"/>
              <w:rPr>
                <w:sz w:val="2"/>
                <w:szCs w:val="2"/>
                <w:color w:val="auto"/>
              </w:rPr>
            </w:pPr>
          </w:p>
        </w:tc>
        <w:tc>
          <w:tcPr>
            <w:tcW w:w="80" w:type="dxa"/>
            <w:vAlign w:val="bottom"/>
            <w:tcBorders>
              <w:bottom w:val="single" w:sz="8" w:color="929292"/>
            </w:tcBorders>
          </w:tcPr>
          <w:p>
            <w:pPr>
              <w:spacing w:after="0"/>
              <w:rPr>
                <w:sz w:val="2"/>
                <w:szCs w:val="2"/>
                <w:color w:val="auto"/>
              </w:rPr>
            </w:pPr>
          </w:p>
        </w:tc>
        <w:tc>
          <w:tcPr>
            <w:tcW w:w="400" w:type="dxa"/>
            <w:vAlign w:val="bottom"/>
            <w:tcBorders>
              <w:bottom w:val="single" w:sz="8" w:color="929292"/>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340" w:type="dxa"/>
            <w:vAlign w:val="bottom"/>
            <w:tcBorders>
              <w:bottom w:val="single" w:sz="8" w:color="929292"/>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13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1,833,950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1"/>
        </w:trPr>
        <w:tc>
          <w:tcPr>
            <w:tcW w:w="4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1,301,035</w:t>
            </w:r>
          </w:p>
        </w:tc>
        <w:tc>
          <w:tcPr>
            <w:tcW w:w="80" w:type="dxa"/>
            <w:vAlign w:val="bottom"/>
          </w:tcPr>
          <w:p>
            <w:pPr>
              <w:spacing w:after="0"/>
              <w:rPr>
                <w:sz w:val="16"/>
                <w:szCs w:val="16"/>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(305,787)</w:t>
            </w:r>
          </w:p>
        </w:tc>
        <w:tc>
          <w:tcPr>
            <w:tcW w:w="80" w:type="dxa"/>
            <w:vAlign w:val="bottom"/>
          </w:tcPr>
          <w:p>
            <w:pPr>
              <w:spacing w:after="0"/>
              <w:rPr>
                <w:sz w:val="16"/>
                <w:szCs w:val="16"/>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(142,806)</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2,685,923</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(526,985)</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Canceled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(29,898)</w:t>
            </w:r>
          </w:p>
        </w:tc>
        <w:tc>
          <w:tcPr>
            <w:tcW w:w="80" w:type="dxa"/>
            <w:vAlign w:val="bottom"/>
          </w:tcPr>
          <w:p>
            <w:pPr>
              <w:spacing w:after="0"/>
              <w:rPr>
                <w:sz w:val="16"/>
                <w:szCs w:val="16"/>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6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2,129,040</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6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4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vested and exercisable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1,382,501</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vested and expected to vest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2,129,040</w:t>
            </w:r>
          </w:p>
        </w:tc>
        <w:tc>
          <w:tcPr>
            <w:tcW w:w="80" w:type="dxa"/>
            <w:vAlign w:val="bottom"/>
          </w:tcPr>
          <w:p>
            <w:pPr>
              <w:spacing w:after="0"/>
              <w:rPr>
                <w:sz w:val="16"/>
                <w:szCs w:val="16"/>
                <w:color w:val="auto"/>
              </w:rPr>
            </w:pP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weighted-average grant-date fair value of options granted during the year ended December 31, 2024 was zero, as no grants were made during the year ended December 31, 2024. The weighted-average grant-date fair value of options granted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was $6.13. The total intrinsic value of options exercised during the years ended December 31, 2024 and 2023 were de minimis.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Performance and Market-Based Equity Awards</w:t>
      </w:r>
      <w:r>
        <w:rPr>
          <w:rFonts w:ascii="Times New Roman" w:cs="Times New Roman" w:eastAsia="Times New Roman" w:hAnsi="Times New Roman"/>
          <w:sz w:val="14"/>
          <w:szCs w:val="14"/>
          <w:color w:val="auto"/>
        </w:rPr>
        <w:t>:</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The 2019 CEO Option Award</w:t>
      </w:r>
      <w:r>
        <w:rPr>
          <w:rFonts w:ascii="Times New Roman" w:cs="Times New Roman" w:eastAsia="Times New Roman" w:hAnsi="Times New Roman"/>
          <w:sz w:val="14"/>
          <w:szCs w:val="14"/>
          <w:color w:val="auto"/>
        </w:rPr>
        <w:t>. On November 15, 2023, the Legacy Sonder Board of Directors (the “Legacy Sonder Board”) granted an award to Francis Davidson, the Company’s former CEO,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of 280,664 options (the “2019 CEO Option Award”), which Mr. Davidson exercised in full in December 2020, with a promissory note payable to the Company in the amount of $24.6 million (the “Promissory Note”). 102,059 of these options vest in 72 equal monthly installments starting as of October 1, 2017 (the “Service-Based Options”), subject to Mr. Davidson’s continuous employment with the Company, and 178,604 options are performance-based and vest upon completion of certain performance milestones, subject to Mr. Davidson’s continuous employment with the Company. 127,573 of the performance-based options were modified during the year ended December 31, 2021 and, as a result, vested in full, while the remaining 51,029 performance-based awards vest upon the Company achieving a certain market capitalization milestone (the “Market Capitalization Condition”).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The Promissory Note. </w:t>
      </w:r>
      <w:r>
        <w:rPr>
          <w:rFonts w:ascii="Times New Roman" w:cs="Times New Roman" w:eastAsia="Times New Roman" w:hAnsi="Times New Roman"/>
          <w:sz w:val="14"/>
          <w:szCs w:val="14"/>
          <w:color w:val="auto"/>
        </w:rPr>
        <w:t>The Promissory Note bore interest at the rate of 2.0% per annum, compounding semiannually. The principal amounts and accrued interest were due upon the consummation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Business Combination. On January 14, 2022, the aggregate outstanding principal amount and interest under the Promissory Note was repaid in full as a result of Mr. Davidson selling 92,797 shares of Legacy Sonder common stock to the Company at a repurchase price of $277 per Legacy Sonder common share (number of shares and amount per share is not adjusted for the application of the recapitalization exchange ratio discussed above), which was equal to the fair value of a share of Legacy Sonder common stock as of the repurchase date, for a total aggregate repurchase price of $25.7 million.</w:t>
      </w:r>
    </w:p>
    <w:p>
      <w:pPr>
        <w:spacing w:after="0" w:line="1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The Service-Based Options. </w:t>
      </w:r>
      <w:r>
        <w:rPr>
          <w:rFonts w:ascii="Times New Roman" w:cs="Times New Roman" w:eastAsia="Times New Roman" w:hAnsi="Times New Roman"/>
          <w:sz w:val="14"/>
          <w:szCs w:val="14"/>
          <w:color w:val="auto"/>
        </w:rPr>
        <w:t>The fair value of the Service-Based Options was estimated using the Black-Scholes option pricing model. The grant date fair value of these awards was $3.2 million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recognized on a straight-line basis over the term of the award.</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2021 Modification of the 2019 CEO Option Award</w:t>
      </w:r>
      <w:r>
        <w:rPr>
          <w:rFonts w:ascii="Times New Roman" w:cs="Times New Roman" w:eastAsia="Times New Roman" w:hAnsi="Times New Roman"/>
          <w:sz w:val="14"/>
          <w:szCs w:val="14"/>
          <w:color w:val="auto"/>
        </w:rPr>
        <w:t>. During the three months ended March 31, 2021, the CEO Performance Awards were modified to accelerate the vesting of the IPO Condition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Qualified Financing Condition because the Legacy Sonder Board desired to reward Mr. Davidson in leading the Company to perform above expectations given the economic impact of the COVID-19 pandemic, especially in the hospitality sector, and additionally, engaging the Company in potential strategic transactions which resulted in increased company valuations. While the vesting of the options under the Market Capitalization Condition were not accelerated by the Legacy Sonder Board, the Legacy Sonder Board approved a resolution clarifying that the Market Capitalization Condition would be eligible to vest in connection with a business combination with a special purpose acquisition company that otherwise achieves the applicable Market Capitalization Condition using an equivalent share price rather than the market capitalization. The modification-date fair values of the CEO Performance Awards was estimated using a Monte Carlo simulation. The Monte Carlo simulation utilizes multiple input variables to estimate the probability that performance conditions will be achieved. These variables include the Company’s expected stock price volatility over the expected term of the award, historical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recognized $11.6 million in expense related to the acceleration of the IPO Condition and the Qualified Financing Condition during the year ended December 31, 2021, and did not recognize expense related to the IPO Condition or Qualified Financing Condition during the year ended December 31, 2024 and 2023. Additionally, during the years ended December 31, 2024 and 2023, the Company recognized $0.1 million and $1.0 million in stock-based compensation expense related to the vesting of the Market Capitalization Condition, respectively.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The 2021 CEO Option Award. </w:t>
      </w:r>
      <w:r>
        <w:rPr>
          <w:rFonts w:ascii="Times New Roman" w:cs="Times New Roman" w:eastAsia="Times New Roman" w:hAnsi="Times New Roman"/>
          <w:sz w:val="14"/>
          <w:szCs w:val="14"/>
          <w:color w:val="auto"/>
        </w:rPr>
        <w:t>On February 18, 2021, the Legacy Sonder Board granted a total of 3,061,794 options to Mr. Davidson (the “2021 CEO Option Award”). The options vest upon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successful consummation of the Business Combination and upon certain share price milestones, subject to Mr. Davidson’s continuous employment at the Company during each such event. The Company recognized $0.1 million and $0.9 million in expense related to the 2021 CEO Option Award during the years ended December 31, 2024 and 2023, respectively. The grant-date fair value of the 2021 CEO Option Award was estimated using the Monte Carlo simulation. The grant-date fair value of the 2021 CEO Option Award on the grant date was $3.0 million.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2022 Modification of the 2019 CEO Option Award and the 2021 CEO Option Award. </w:t>
      </w:r>
      <w:r>
        <w:rPr>
          <w:rFonts w:ascii="Times New Roman" w:cs="Times New Roman" w:eastAsia="Times New Roman" w:hAnsi="Times New Roman"/>
          <w:sz w:val="14"/>
          <w:szCs w:val="14"/>
          <w:color w:val="auto"/>
        </w:rPr>
        <w:t>On December 28, 2022, the 2019 CEO Option Award shares subject to the Market Capitalization Condition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2021 CEO Option Award were amended. The amendments modified the vesting terms of the awards to align more closely with macroeconomic trends and the Company's performance. Prior to the amendments, the 2019 CEO Option Award included that the estimated price per share of the Company’s common stock that would be required to meet the market capitalization goal of $5.0 billion by November 19, 2026 was approximately $361.00. Pursuant to the amendments, adjustments were made to the performance goal required to be achieved by November 19, 2026 from a market capitalization goal of $5.0 billion to a stock price target of $105.40. Prior to the amendments, the 2021 CEO Option Award market value targets required to be achieved by December 31, 2023, December 31, 2024, and December 31, 2025 were approximately $304.00, $422.00, and $481.00. Pursuant to the amendment, the adjusted dates for the market value targets to be achieved, and the market value targets required to be achieved were changed to December 31, 2025 December 31, 2026 and December 31, 2027, and to $90.60, $127.80, and $142.80, respectively. The amendment represented a modification of the awards. The impact of the modification was immaterial to the consolidated financial statements for the year ended December 31, 2022 and resulted in approximately $1.5 million of incremental expense to be recognized in future years, over the remaining life of the awards.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RSUs</w:t>
      </w:r>
      <w:r>
        <w:rPr>
          <w:rFonts w:ascii="Times New Roman" w:cs="Times New Roman" w:eastAsia="Times New Roman" w:hAnsi="Times New Roman"/>
          <w:sz w:val="14"/>
          <w:szCs w:val="14"/>
          <w:color w:val="auto"/>
          <w:highlight w:val="white"/>
        </w:rPr>
        <w:t>: The fair value of the Company’s RSUs is expensed</w:t>
      </w:r>
      <w:r>
        <w:rPr>
          <w:rFonts w:ascii="Times New Roman" w:cs="Times New Roman" w:eastAsia="Times New Roman" w:hAnsi="Times New Roman"/>
          <w:sz w:val="14"/>
          <w:szCs w:val="14"/>
          <w:color w:val="auto"/>
        </w:rPr>
        <w:t xml:space="preserve"> ratably over the vesting period. The Company’s RSUs generally vest over four years, with a cliff equal to one-fourth of the award after the first year, and then quarterly thereafter over the remaining service period. For the years ended December 31, 2024 and 2023, the Company recorded stock-based compensation expense from RSUs of approximately $3.8 million and $6.1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RSU activity under the Company’s equity incentive plans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0" w:type="dxa"/>
            <w:vAlign w:val="bottom"/>
            <w:gridSpan w:val="3"/>
          </w:tcPr>
          <w:p>
            <w:pPr>
              <w:jc w:val="right"/>
              <w:ind w:right="1189"/>
              <w:spacing w:after="0"/>
              <w:rPr>
                <w:sz w:val="20"/>
                <w:szCs w:val="20"/>
                <w:color w:val="auto"/>
              </w:rPr>
            </w:pPr>
            <w:r>
              <w:rPr>
                <w:rFonts w:ascii="Times New Roman" w:cs="Times New Roman" w:eastAsia="Times New Roman" w:hAnsi="Times New Roman"/>
                <w:sz w:val="14"/>
                <w:szCs w:val="14"/>
                <w:color w:val="auto"/>
              </w:rPr>
              <w:t>RSUs Outstanding</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8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860" w:type="dxa"/>
            <w:vAlign w:val="bottom"/>
          </w:tcPr>
          <w:p>
            <w:pPr>
              <w:spacing w:after="0"/>
              <w:rPr>
                <w:sz w:val="15"/>
                <w:szCs w:val="15"/>
                <w:color w:val="auto"/>
              </w:rPr>
            </w:pPr>
          </w:p>
        </w:tc>
        <w:tc>
          <w:tcPr>
            <w:tcW w:w="16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Number of RSUs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Weighted-Average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Grant Date Fair Value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583,707</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191"/>
        </w:trPr>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141,987</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32"/>
        </w:trPr>
        <w:tc>
          <w:tcPr>
            <w:tcW w:w="6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(154,062)</w:t>
            </w: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0" w:type="dxa"/>
            <w:vAlign w:val="bottom"/>
          </w:tcPr>
          <w:p>
            <w:pPr>
              <w:spacing w:after="0"/>
              <w:rPr>
                <w:sz w:val="1"/>
                <w:szCs w:val="1"/>
                <w:color w:val="auto"/>
              </w:rPr>
            </w:pPr>
          </w:p>
        </w:tc>
      </w:tr>
      <w:tr>
        <w:trPr>
          <w:trHeight w:val="191"/>
        </w:trPr>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(212,457)</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32"/>
        </w:trPr>
        <w:tc>
          <w:tcPr>
            <w:tcW w:w="68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359,175</w:t>
            </w:r>
          </w:p>
        </w:tc>
        <w:tc>
          <w:tcPr>
            <w:tcW w:w="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191"/>
        </w:trPr>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(28,422)</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w:t>
            </w:r>
          </w:p>
        </w:tc>
        <w:tc>
          <w:tcPr>
            <w:tcW w:w="0" w:type="dxa"/>
            <w:vAlign w:val="bottom"/>
          </w:tcPr>
          <w:p>
            <w:pPr>
              <w:spacing w:after="0"/>
              <w:rPr>
                <w:sz w:val="1"/>
                <w:szCs w:val="1"/>
                <w:color w:val="auto"/>
              </w:rPr>
            </w:pPr>
          </w:p>
        </w:tc>
      </w:tr>
      <w:tr>
        <w:trPr>
          <w:trHeight w:val="32"/>
        </w:trPr>
        <w:tc>
          <w:tcPr>
            <w:tcW w:w="6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(93,768)</w:t>
            </w:r>
          </w:p>
        </w:tc>
        <w:tc>
          <w:tcPr>
            <w:tcW w:w="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0" w:type="dxa"/>
            <w:vAlign w:val="bottom"/>
          </w:tcPr>
          <w:p>
            <w:pPr>
              <w:spacing w:after="0"/>
              <w:rPr>
                <w:sz w:val="1"/>
                <w:szCs w:val="1"/>
                <w:color w:val="auto"/>
              </w:rPr>
            </w:pP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6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236,985</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MSUs</w:t>
      </w:r>
      <w:r>
        <w:rPr>
          <w:rFonts w:ascii="Times New Roman" w:cs="Times New Roman" w:eastAsia="Times New Roman" w:hAnsi="Times New Roman"/>
          <w:sz w:val="14"/>
          <w:szCs w:val="14"/>
          <w:color w:val="auto"/>
          <w:highlight w:val="white"/>
        </w:rPr>
        <w:t>: In May 2022, the Company issued MSUs to certain key executives in accordance with the Company’s 2021 Management Equity Incentive Plan.</w:t>
      </w:r>
      <w:r>
        <w:rPr>
          <w:rFonts w:ascii="Times New Roman" w:cs="Times New Roman" w:eastAsia="Times New Roman" w:hAnsi="Times New Roman"/>
          <w:sz w:val="14"/>
          <w:szCs w:val="14"/>
          <w:color w:val="auto"/>
        </w:rPr>
        <w:t xml:space="preserve"> One-sixth of the MSUs vest upon (including prior to but contingent on) the occurrence of each of six distinct triggering events, including if certain share price targets are met, within the five-year period ending July 17, 2027.</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determined the grant-date fair value of the MSUs using a Monte Carlo simulation. The Company recognizes stock-based compensation for the MSUs over the requisite service period, which is approximately four years, using the accelerated attribution method. During the years ended December 31, 2024 and 2023, the Company did not grant MSUs. During the year ended December 31, 2024 and 2023, the Company recognized approximately $0.7 million and $0.8 million, respectively, in stock-based compensation expense from MSUs.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Net Loss per Common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loss per share attributable to common stockholders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net loss per share is computed by dividing the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set forth the computation of basic and diluted net loss per share (in thousands, except share data):</w:t>
            </w: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7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(224,087)</w:t>
            </w:r>
          </w:p>
        </w:tc>
        <w:tc>
          <w:tcPr>
            <w:tcW w:w="80" w:type="dxa"/>
            <w:vAlign w:val="bottom"/>
          </w:tcPr>
          <w:p>
            <w:pPr>
              <w:spacing w:after="0"/>
              <w:rPr>
                <w:sz w:val="16"/>
                <w:szCs w:val="16"/>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(295,668)</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Accretion to redeemable value of preferred stock</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Paid-in-kind dividend on preferred stock</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(233,971)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(295,668)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1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basic and diluted common shares outstanding</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11,308,232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10,933,126</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32"/>
        </w:trPr>
        <w:tc>
          <w:tcPr>
            <w:tcW w:w="7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potential common shares outstanding were excluded from the computation of diluted net loss per share because including them would have been anti-dilutive:</w:t>
      </w:r>
    </w:p>
    <w:p>
      <w:pPr>
        <w:spacing w:after="0" w:line="24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34925</wp:posOffset>
            </wp:positionV>
            <wp:extent cx="266763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67635"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gridSpan w:val="2"/>
          </w:tcPr>
          <w:p>
            <w:pPr>
              <w:ind w:left="7960"/>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43,300,000</w:t>
            </w: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2,129,040</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2,685,923</w:t>
            </w:r>
          </w:p>
        </w:tc>
      </w:tr>
      <w:tr>
        <w:trPr>
          <w:trHeight w:val="32"/>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subject to repurchase or forfeiture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74,964</w:t>
            </w: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75,901</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RSUs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236,985</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359,175</w:t>
            </w:r>
          </w:p>
        </w:tc>
      </w:tr>
      <w:tr>
        <w:trPr>
          <w:trHeight w:val="32"/>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MSUs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531,996</w:t>
            </w: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567,500</w:t>
            </w:r>
          </w:p>
        </w:tc>
      </w:tr>
      <w:tr>
        <w:trPr>
          <w:trHeight w:val="191"/>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Exchangeable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551,072</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712,982</w:t>
            </w:r>
          </w:p>
        </w:tc>
      </w:tr>
      <w:tr>
        <w:trPr>
          <w:trHeight w:val="32"/>
        </w:trPr>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8"/>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common stock equivalents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46,824,057</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4,401,481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commitments related to our operating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Surety Bonds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portion of the Company’s leases are supported by surety bonds provided by affiliates of certain insurance companies. At December 31, 2024, the Company had commitments from six surety providers in the amount of $38.3 million, of which $16.9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and Regulatory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been and expects to continue to become involved in litigation or other legal proceedings from time to time, including the matter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establishes an accrued liability for loss contingencies related to legal matters when a loss is both probable and reasonably estimable. These accruals represent management’s best estimate of probable losses. The Company recorded an estimated accrual of $23.5 million and $17.3 million in the consolidated balance sheets as of December 31, 2024 and 2023,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based on management’s current knowledge, the amount or range of reasonably possible loss will not, either individually or in the aggregate, have a material adverse effect on the Company’s business, results of operations, financial condition, and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New York City Litigation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Inc., and Sonder Holdings Inc. (the “Sonder Parties”) for breach of the lease, seeking no less than $3.9 million in damages. The Sonder Parties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the Sonder Parties’ counterclaims; and ordering a trial for the amount of damages. On November 13, 2023, the Sonder Parties filed a notice of appeal of the October 13, 2023 court order on liability. On May 9, 2024, the appellate court affirmed the trial court’s order as to liability, but directed the trial court to allow the Sonder Parties the right to conduct discovery concerning the amount of the Broad Street Landlord’s alleged damages. Discovery has commenced in the trial court regarding the Broad Street Landlord’s alleged damages. A trial date to determine damages has not yet been set. On June 12, 2024, the Sonder Parties filed a motion in the appellate court seeking leave to reargue aspects of the appellate court’s order, or alternatively, for leave to appeal the order. On September 26, 2024, the appellate court granted the Sonder Parties’ motion to reargue and issued an order reversing the portion of the trial court’s decision dismissing the Sonder Parties’ breach of contract claim related to the Broad Street Landlord’s failure to maintain the plumbing systems in good repair for the period prior to when the Sonder Parties began withholding payment of rent. On October 21, 2024, the Broad Street Landlord filed a motion seeking leave to amend its complaint in order to assert $37 million in damages. Oral argument on that motion occurred in the trial court on March 5, 2025, and discovery is stayed pending the court’s determination of the motion.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Sonder Stockholder Litigation</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On April 11, 2024, a putative securities class action lawsuit titled </w:t>
      </w:r>
      <w:r>
        <w:rPr>
          <w:rFonts w:ascii="Times New Roman" w:cs="Times New Roman" w:eastAsia="Times New Roman" w:hAnsi="Times New Roman"/>
          <w:sz w:val="14"/>
          <w:szCs w:val="14"/>
          <w:i w:val="1"/>
          <w:iCs w:val="1"/>
          <w:color w:val="auto"/>
        </w:rPr>
        <w:t>Duffaydar v. Sonder Holdings Inc., et al.</w:t>
      </w:r>
      <w:r>
        <w:rPr>
          <w:rFonts w:ascii="Times New Roman" w:cs="Times New Roman" w:eastAsia="Times New Roman" w:hAnsi="Times New Roman"/>
          <w:sz w:val="14"/>
          <w:szCs w:val="14"/>
          <w:color w:val="auto"/>
        </w:rPr>
        <w:t>, Case No. 24-cv-2952 was filed in the U.S. District Court for the Central District of California (the “Central District Court”) naming the Company and certain of its current and former officers and directors as defendants. A lead plaintiff and lead counsel were appointed, and an amended complaint was filed on December 23, 2024. The amended complaint purports to bring suit on behalf of stockholders who purchased or otherwise acquired the Company’s securities between March 16, 2023 and March 15, 2024, and alleges that the defendants made false and misleading statements about the Company’s financial results and condition, including the Company’s valuation of operating lease right of use assets, in violation of Sections 10(b) and 20(a) of the Exchange Act. The amended complaint seeks unspecified compensatory damages, fees and costs. The defendants filed a motion to dismiss on February 21, 2025 and the Central District Court took the defendant’s motion to dismiss 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submission. The Company cannot reasonably estimate the amount of any possible financial loss that could result from this matter. The Company believes the plaintiffs’ allegations are without merit and intends to defend the action vigorously.</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On January 28, 2025, a putative stockholder derivative lawsuit titled </w:t>
      </w:r>
      <w:r>
        <w:rPr>
          <w:rFonts w:ascii="Times New Roman" w:cs="Times New Roman" w:eastAsia="Times New Roman" w:hAnsi="Times New Roman"/>
          <w:sz w:val="14"/>
          <w:szCs w:val="14"/>
          <w:i w:val="1"/>
          <w:iCs w:val="1"/>
          <w:color w:val="auto"/>
        </w:rPr>
        <w:t>Versen v. Davidson, et al.</w:t>
      </w:r>
      <w:r>
        <w:rPr>
          <w:rFonts w:ascii="Times New Roman" w:cs="Times New Roman" w:eastAsia="Times New Roman" w:hAnsi="Times New Roman"/>
          <w:sz w:val="14"/>
          <w:szCs w:val="14"/>
          <w:color w:val="auto"/>
        </w:rPr>
        <w:t xml:space="preserve">, Case No. 25-cv-761 was filed in the Central District Court naming certain of the Company’s current and former officers and directors as defendants and naming the Company as a nominal defendant. The derivative complaint is based on allegations similar to those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purports to assert claims against the individual defendants for making false and misleading statements about the Company’s financial results and condition in violation of Section 14(a) of the Exchange Act and for breach of their fiduciary duties, unjust enrichment, abuse of control, gross mismanagement, waste of corporate assets and contribution under Sections 10(b) and 21D of the Exchange Act. The plaintiff seeks corporate reforms, unspecified damages and restitution, and fees and costs. On May 1, 2025, the Central District Court stayed this matter. The Company cannot reasonably estimate the amount of any possible financial loss that could result from this matter.</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On March 7, 2025, a putative stockholder derivative lawsuit titled </w:t>
      </w:r>
      <w:r>
        <w:rPr>
          <w:rFonts w:ascii="Times New Roman" w:cs="Times New Roman" w:eastAsia="Times New Roman" w:hAnsi="Times New Roman"/>
          <w:sz w:val="14"/>
          <w:szCs w:val="14"/>
          <w:i w:val="1"/>
          <w:iCs w:val="1"/>
          <w:color w:val="auto"/>
        </w:rPr>
        <w:t>Akcayli v. Davidson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xml:space="preserve">., Case No. 25-cv-2060 was filed in the Central District Court naming certain of the Company’s current and former officers and directors as defendants and naming the Company as a nominal defendant. The derivative complaint is based on allegations similar to those described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purports to assert similar claims against the same individual defendants as those in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derivative action. The plaintiff seeks corporate reforms, unspecified damages and restitution, and fees and costs. On May 27, 2025, the Central District Court stayed this matter. The Company cannot reasonably estimate the amount of any possible financial loss that could result from this matter.</w:t>
      </w: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On March 17, 2025, a putative stockholder derivative lawsuit titled </w:t>
      </w:r>
      <w:r>
        <w:rPr>
          <w:rFonts w:ascii="Times New Roman" w:cs="Times New Roman" w:eastAsia="Times New Roman" w:hAnsi="Times New Roman"/>
          <w:sz w:val="14"/>
          <w:szCs w:val="14"/>
          <w:i w:val="1"/>
          <w:iCs w:val="1"/>
          <w:color w:val="auto"/>
        </w:rPr>
        <w:t>Hunter v. Aggarwal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et al</w:t>
      </w:r>
      <w:r>
        <w:rPr>
          <w:rFonts w:ascii="Times New Roman" w:cs="Times New Roman" w:eastAsia="Times New Roman" w:hAnsi="Times New Roman"/>
          <w:sz w:val="14"/>
          <w:szCs w:val="14"/>
          <w:color w:val="auto"/>
        </w:rPr>
        <w:t xml:space="preserve">., Case No. 25-cv-2352 was filed in the Central District Court naming certain of the Company’s current and former officers and directors as defendants and naming the Company as a nominal defendant. The derivative complaint is based on allegations similar to those described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and purports to assert similar claims against the same individual defendants as the </w:t>
      </w:r>
      <w:r>
        <w:rPr>
          <w:rFonts w:ascii="Times New Roman" w:cs="Times New Roman" w:eastAsia="Times New Roman" w:hAnsi="Times New Roman"/>
          <w:sz w:val="14"/>
          <w:szCs w:val="14"/>
          <w:i w:val="1"/>
          <w:iCs w:val="1"/>
          <w:color w:val="auto"/>
        </w:rPr>
        <w:t>Versen</w:t>
      </w:r>
      <w:r>
        <w:rPr>
          <w:rFonts w:ascii="Times New Roman" w:cs="Times New Roman" w:eastAsia="Times New Roman" w:hAnsi="Times New Roman"/>
          <w:sz w:val="14"/>
          <w:szCs w:val="14"/>
          <w:color w:val="auto"/>
        </w:rPr>
        <w:t xml:space="preserve"> derivative action. The plaintiff seeks corporate reforms, unspecified damages and restitution, and fees and costs. On June 27, 2025, the Central District Court entered an order continuing the defendants’ deadline to respond to the derivative complaint until after the Central District Court issues an order regarding the motion to dismiss in the </w:t>
      </w:r>
      <w:r>
        <w:rPr>
          <w:rFonts w:ascii="Times New Roman" w:cs="Times New Roman" w:eastAsia="Times New Roman" w:hAnsi="Times New Roman"/>
          <w:sz w:val="14"/>
          <w:szCs w:val="14"/>
          <w:i w:val="1"/>
          <w:iCs w:val="1"/>
          <w:color w:val="auto"/>
        </w:rPr>
        <w:t>Duffaydar</w:t>
      </w:r>
      <w:r>
        <w:rPr>
          <w:rFonts w:ascii="Times New Roman" w:cs="Times New Roman" w:eastAsia="Times New Roman" w:hAnsi="Times New Roman"/>
          <w:sz w:val="14"/>
          <w:szCs w:val="14"/>
          <w:color w:val="auto"/>
        </w:rPr>
        <w:t xml:space="preserve"> class action. The Company cannot reasonably estimate the amount of any possible financial loss that could result from this matter.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GMII Litigation</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On December 23, 2024, a putative stockholder of GMII filed a purported class action lawsuit titled </w:t>
      </w:r>
      <w:r>
        <w:rPr>
          <w:rFonts w:ascii="Times New Roman" w:cs="Times New Roman" w:eastAsia="Times New Roman" w:hAnsi="Times New Roman"/>
          <w:sz w:val="14"/>
          <w:szCs w:val="14"/>
          <w:i w:val="1"/>
          <w:iCs w:val="1"/>
          <w:color w:val="auto"/>
        </w:rPr>
        <w:t>Porter v. Metropoulos, et al.</w:t>
      </w:r>
      <w:r>
        <w:rPr>
          <w:rFonts w:ascii="Times New Roman" w:cs="Times New Roman" w:eastAsia="Times New Roman" w:hAnsi="Times New Roman"/>
          <w:sz w:val="14"/>
          <w:szCs w:val="14"/>
          <w:color w:val="auto"/>
        </w:rPr>
        <w:t>, Case No. 2024-1336 in the Court of Chancery of the State of Delaware against Gores Metropoulos Sponsor II, the directors and officers of GMII, and two of the Company’s officers. The complaint purports to assert claims for breach of fiduciary duty, aiding and abetting breach of fiduciary duty and unjust enrichment in connection with the merger between GMII and Legacy Sonder and seeks unspecified damages and disgorgement. An amended complaint was filed on May 9, 2025, which dismissed one of the Company’s officers. The defendants filed a motion to dismiss on May 23, 2025. The Company cannot reasonably estimate the amount of any possible financial loss that could result from this matter.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Lawsuit Settlements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24, 2024, the Company favorably settled two lawsuits related to certain property leases for a total of $7.5 million payable in three tranches. The Company received the first tranche of $2.5 million in July 2024, the second tranche of $2.3 million in November 2024, and the third tranche of $2.7 million in January 2025. The Company recognized the settlement income when it was realized and earned accordingly in the periods of payment receipt.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Contingencies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June 2019, His Majesty’s Revenue and Customs (“HMRC”) issued notices of determination and decisions that stated that, for the period October 2017 to April 2018, Sonder Europe Limited (“Sonder Europe”) incorrectly accounted for value added taxes (“VAT”) under the Tour Operators’ Margin Scheme (“TOMS”) for Sonder Europe’s leasing of residential apartments in the United Kingdom on long-term contracts and the subsequent short-term rental to travelers. In January 2023, Sonder Europe appealed to the First-Tier Tribunal Tax Chamber (the “FTT”) against HMRC’s notices. On July 5, 2023, the FTT delivered a ruling holding that supplies of accommodation made by Sonder Europe fell within the scope of the TOMS under the relevant VAT regulations. HMRC appealed the FTT’s ruling and on December 3, 2024, the appeal was heard in the Upper Tribunal. On January 14, 2025, the Upper Tribunal ruled that the FTT’s decision was wrong, and Sonder Europe was required to account for VAT on the full value of its supplies to travelers, rather than on the margin between the cost to Sonder Europe and the amount paid by travelers. The Company filed an appeal in March 2025.</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estimated accruals of $15.3 million and $6.8 million in the taxes payable line item of the consolidated balance sheets as of December 31, 2024 and 2023, respectively, for such matters.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The Company has entered into indemnification agreements with all of its directors and executive officers.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In addition, the Company entered into indemnification agreements with directors and officers of GMII in connection with the consummation of the Business Combination. These indemnification agreements provide these directors and officers with contractual rights to indemnification and advancement of certain expenses arising out of their service as directors and officers of GMII. The Company may be required to provide indemnification under the indemnification agreements or the Bylaws in relation to the legal proceedings described above in Note 13,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There are no claims that management is aware of that could have a material adverse effect on the Company’s business, results of operations, financial condition and cash flows.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14. Income Taxes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components of provision (benefit) for income taxes are as follows (in thousands):</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9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0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5200" w:type="dxa"/>
            <w:vAlign w:val="bottom"/>
            <w:tcBorders>
              <w:bottom w:val="single" w:sz="8" w:color="CCEEFF"/>
            </w:tcBorders>
            <w:gridSpan w:val="2"/>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States</w:t>
            </w:r>
          </w:p>
        </w:tc>
        <w:tc>
          <w:tcPr>
            <w:tcW w:w="2380" w:type="dxa"/>
            <w:vAlign w:val="bottom"/>
            <w:tcBorders>
              <w:bottom w:val="single" w:sz="8" w:color="CCEEFF"/>
            </w:tcBorders>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1"/>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1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32"/>
        </w:trPr>
        <w:tc>
          <w:tcPr>
            <w:tcW w:w="5200" w:type="dxa"/>
            <w:vAlign w:val="bottom"/>
            <w:tcBorders>
              <w:bottom w:val="single" w:sz="8" w:color="CCEEFF"/>
            </w:tcBorders>
            <w:gridSpan w:val="2"/>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provision for income taxes</w:t>
            </w:r>
          </w:p>
        </w:tc>
        <w:tc>
          <w:tcPr>
            <w:tcW w:w="2380" w:type="dxa"/>
            <w:vAlign w:val="bottom"/>
            <w:tcBorders>
              <w:bottom w:val="single" w:sz="8" w:color="CCEEFF"/>
            </w:tcBorders>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9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20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1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81"/>
        </w:trPr>
        <w:tc>
          <w:tcPr>
            <w:tcW w:w="52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deferred benefit for income taxes</w:t>
            </w:r>
          </w:p>
        </w:tc>
        <w:tc>
          <w:tcPr>
            <w:tcW w:w="1900" w:type="dxa"/>
            <w:vAlign w:val="bottom"/>
          </w:tcPr>
          <w:p>
            <w:pPr>
              <w:spacing w:after="0"/>
              <w:rPr>
                <w:sz w:val="15"/>
                <w:szCs w:val="15"/>
                <w:color w:val="auto"/>
              </w:rPr>
            </w:pPr>
          </w:p>
        </w:tc>
        <w:tc>
          <w:tcPr>
            <w:tcW w:w="48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32"/>
        </w:trPr>
        <w:tc>
          <w:tcPr>
            <w:tcW w:w="5200" w:type="dxa"/>
            <w:vAlign w:val="bottom"/>
            <w:tcBorders>
              <w:bottom w:val="single" w:sz="8" w:color="CCEEFF"/>
            </w:tcBorders>
            <w:gridSpan w:val="2"/>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benefit for income taxes</w:t>
            </w:r>
          </w:p>
        </w:tc>
        <w:tc>
          <w:tcPr>
            <w:tcW w:w="23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289"/>
              <w:spacing w:after="0"/>
              <w:rPr>
                <w:sz w:val="20"/>
                <w:szCs w:val="20"/>
                <w:color w:val="auto"/>
              </w:rPr>
            </w:pPr>
            <w:r>
              <w:rPr>
                <w:rFonts w:ascii="Times New Roman" w:cs="Times New Roman" w:eastAsia="Times New Roman" w:hAnsi="Times New Roman"/>
                <w:sz w:val="14"/>
                <w:szCs w:val="14"/>
                <w:color w:val="auto"/>
              </w:rPr>
              <w:t>113</w:t>
            </w:r>
          </w:p>
        </w:tc>
        <w:tc>
          <w:tcPr>
            <w:tcW w:w="480" w:type="dxa"/>
            <w:vAlign w:val="bottom"/>
            <w:tcBorders>
              <w:top w:val="single" w:sz="8" w:color="6D6D6D"/>
              <w:bottom w:val="single" w:sz="8" w:color="6D6D6D"/>
            </w:tcBorders>
          </w:tcPr>
          <w:p>
            <w:pPr>
              <w:spacing w:after="0" w:line="20" w:lineRule="exact"/>
              <w:rPr>
                <w:sz w:val="1"/>
                <w:szCs w:val="1"/>
                <w:color w:val="auto"/>
              </w:rPr>
            </w:pPr>
          </w:p>
        </w:tc>
        <w:tc>
          <w:tcPr>
            <w:tcW w:w="1580" w:type="dxa"/>
            <w:vAlign w:val="bottom"/>
            <w:tcBorders>
              <w:top w:val="single" w:sz="8" w:color="6D6D6D"/>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6D6D6D"/>
              <w:bottom w:val="single" w:sz="8" w:color="6D6D6D"/>
            </w:tcBorders>
          </w:tcPr>
          <w:p>
            <w:pPr>
              <w:spacing w:after="0" w:line="20" w:lineRule="exact"/>
              <w:rPr>
                <w:sz w:val="1"/>
                <w:szCs w:val="1"/>
                <w:color w:val="auto"/>
              </w:rPr>
            </w:pPr>
          </w:p>
        </w:tc>
        <w:tc>
          <w:tcPr>
            <w:tcW w:w="1260" w:type="dxa"/>
            <w:vAlign w:val="bottom"/>
            <w:tcBorders>
              <w:top w:val="single" w:sz="8" w:color="6D6D6D"/>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1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48"/>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domestic and foreign components of loss before income taxes are as follows (in thousands):</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3"/>
        </w:trPr>
        <w:tc>
          <w:tcPr>
            <w:tcW w:w="10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r>
      <w:tr>
        <w:trPr>
          <w:trHeight w:val="32"/>
        </w:trPr>
        <w:tc>
          <w:tcPr>
            <w:tcW w:w="10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10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(235,388)</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(214,936)</w:t>
            </w:r>
          </w:p>
        </w:tc>
      </w:tr>
      <w:tr>
        <w:trPr>
          <w:trHeight w:val="191"/>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9,295</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(81,665)</w:t>
            </w:r>
          </w:p>
        </w:tc>
      </w:tr>
      <w:tr>
        <w:trPr>
          <w:trHeight w:val="32"/>
        </w:trPr>
        <w:tc>
          <w:tcPr>
            <w:tcW w:w="710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r>
      <w:tr>
        <w:trPr>
          <w:trHeight w:val="233"/>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60" w:type="dxa"/>
            <w:vAlign w:val="bottom"/>
            <w:tcBorders>
              <w:bottom w:val="single" w:sz="8" w:color="6D6D6D"/>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(226,093)</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6D6D6D"/>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(296,601)</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6D6D6D"/>
            </w:tcBorders>
          </w:tcPr>
          <w:p>
            <w:pPr>
              <w:spacing w:after="0" w:line="20" w:lineRule="exact"/>
              <w:rPr>
                <w:sz w:val="1"/>
                <w:szCs w:val="1"/>
                <w:color w:val="auto"/>
              </w:rPr>
            </w:pPr>
          </w:p>
        </w:tc>
        <w:tc>
          <w:tcPr>
            <w:tcW w:w="80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6D6D6D"/>
            </w:tcBorders>
          </w:tcPr>
          <w:p>
            <w:pPr>
              <w:spacing w:after="0" w:line="20" w:lineRule="exact"/>
              <w:rPr>
                <w:sz w:val="1"/>
                <w:szCs w:val="1"/>
                <w:color w:val="auto"/>
              </w:rPr>
            </w:pPr>
          </w:p>
        </w:tc>
        <w:tc>
          <w:tcPr>
            <w:tcW w:w="1260" w:type="dxa"/>
            <w:vAlign w:val="bottom"/>
            <w:tcBorders>
              <w:top w:val="single" w:sz="8" w:color="CCEEFF"/>
              <w:bottom w:val="single" w:sz="8" w:color="6D6D6D"/>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reconciliation of provision (benefit) for income tax on loss before income taxes at the U.S. federal statutory rate of 21.0% compared with the Company’s actual provision (benefit) for income taxes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at U.S. statutory rate</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(47,480)</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(62,286)</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debt instruments</w:t>
            </w:r>
          </w:p>
        </w:tc>
        <w:tc>
          <w:tcPr>
            <w:tcW w:w="1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loss</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23,668</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60,146</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adjustment (gain) loss</w:t>
            </w:r>
          </w:p>
        </w:tc>
        <w:tc>
          <w:tcPr>
            <w:tcW w:w="1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w:t>
            </w:r>
          </w:p>
        </w:tc>
        <w:tc>
          <w:tcPr>
            <w:tcW w:w="0" w:type="dxa"/>
            <w:vAlign w:val="bottom"/>
          </w:tcPr>
          <w:p>
            <w:pPr>
              <w:spacing w:after="0"/>
              <w:rPr>
                <w:sz w:val="1"/>
                <w:szCs w:val="1"/>
                <w:color w:val="auto"/>
              </w:rPr>
            </w:pPr>
          </w:p>
        </w:tc>
      </w:tr>
      <w:tr>
        <w:trPr>
          <w:trHeight w:val="204"/>
        </w:trPr>
        <w:tc>
          <w:tcPr>
            <w:tcW w:w="7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benefit for income taxes</w:t>
            </w:r>
          </w:p>
        </w:tc>
        <w:tc>
          <w:tcPr>
            <w:tcW w:w="1260" w:type="dxa"/>
            <w:vAlign w:val="bottom"/>
            <w:tcBorders>
              <w:top w:val="single" w:sz="8" w:color="6D6D6D"/>
              <w:bottom w:val="single" w:sz="8" w:color="6D6D6D"/>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Pr>
          <w:p>
            <w:pPr>
              <w:spacing w:after="0"/>
              <w:rPr>
                <w:sz w:val="17"/>
                <w:szCs w:val="17"/>
                <w:color w:val="auto"/>
              </w:rPr>
            </w:pPr>
          </w:p>
        </w:tc>
        <w:tc>
          <w:tcPr>
            <w:tcW w:w="780" w:type="dxa"/>
            <w:vAlign w:val="bottom"/>
            <w:tcBorders>
              <w:top w:val="single" w:sz="8" w:color="6D6D6D"/>
              <w:bottom w:val="single" w:sz="8" w:color="6D6D6D"/>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components of the Company’s net deferred tax assets and liabilities are as follows (in thousands):</w:t>
            </w:r>
          </w:p>
        </w:tc>
        <w:tc>
          <w:tcPr>
            <w:tcW w:w="1260" w:type="dxa"/>
            <w:vAlign w:val="bottom"/>
            <w:tcBorders>
              <w:bottom w:val="single" w:sz="8" w:color="6D6D6D"/>
            </w:tcBorders>
          </w:tcPr>
          <w:p>
            <w:pPr>
              <w:spacing w:after="0" w:line="20" w:lineRule="exact"/>
              <w:rPr>
                <w:sz w:val="1"/>
                <w:szCs w:val="1"/>
                <w:color w:val="auto"/>
              </w:rPr>
            </w:pPr>
          </w:p>
        </w:tc>
        <w:tc>
          <w:tcPr>
            <w:tcW w:w="80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6D6D6D"/>
            </w:tcBorders>
          </w:tcPr>
          <w:p>
            <w:pPr>
              <w:spacing w:after="0" w:line="20" w:lineRule="exact"/>
              <w:rPr>
                <w:sz w:val="1"/>
                <w:szCs w:val="1"/>
                <w:color w:val="auto"/>
              </w:rPr>
            </w:pPr>
          </w:p>
        </w:tc>
        <w:tc>
          <w:tcPr>
            <w:tcW w:w="126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71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and capital loss carryforwards</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236,569</w:t>
            </w:r>
          </w:p>
        </w:tc>
        <w:tc>
          <w:tcPr>
            <w:tcW w:w="80" w:type="dxa"/>
            <w:vAlign w:val="bottom"/>
          </w:tcPr>
          <w:p>
            <w:pPr>
              <w:spacing w:after="0"/>
              <w:rPr>
                <w:sz w:val="16"/>
                <w:szCs w:val="16"/>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205,706</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carryforwards</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0" w:type="dxa"/>
            <w:vAlign w:val="bottom"/>
          </w:tcPr>
          <w:p>
            <w:pPr>
              <w:spacing w:after="0"/>
              <w:rPr>
                <w:sz w:val="1"/>
                <w:szCs w:val="1"/>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and intangible assets</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20,339</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0" w:type="dxa"/>
            <w:vAlign w:val="bottom"/>
          </w:tcPr>
          <w:p>
            <w:pPr>
              <w:spacing w:after="0"/>
              <w:rPr>
                <w:sz w:val="1"/>
                <w:szCs w:val="1"/>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13,531</w:t>
            </w:r>
          </w:p>
        </w:tc>
        <w:tc>
          <w:tcPr>
            <w:tcW w:w="0" w:type="dxa"/>
            <w:vAlign w:val="bottom"/>
          </w:tcPr>
          <w:p>
            <w:pPr>
              <w:spacing w:after="0"/>
              <w:rPr>
                <w:sz w:val="1"/>
                <w:szCs w:val="1"/>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22,764</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15,823</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11,005</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10,354</w:t>
            </w:r>
          </w:p>
        </w:tc>
        <w:tc>
          <w:tcPr>
            <w:tcW w:w="0" w:type="dxa"/>
            <w:vAlign w:val="bottom"/>
          </w:tcPr>
          <w:p>
            <w:pPr>
              <w:spacing w:after="0"/>
              <w:rPr>
                <w:sz w:val="1"/>
                <w:szCs w:val="1"/>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261,789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358,266</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10,637</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w:t>
            </w:r>
          </w:p>
        </w:tc>
        <w:tc>
          <w:tcPr>
            <w:tcW w:w="0" w:type="dxa"/>
            <w:vAlign w:val="bottom"/>
          </w:tcPr>
          <w:p>
            <w:pPr>
              <w:spacing w:after="0"/>
              <w:rPr>
                <w:sz w:val="1"/>
                <w:szCs w:val="1"/>
                <w:color w:val="auto"/>
              </w:rPr>
            </w:pPr>
          </w:p>
        </w:tc>
      </w:tr>
      <w:tr>
        <w:trPr>
          <w:trHeight w:val="18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597,127</w:t>
            </w:r>
          </w:p>
        </w:tc>
        <w:tc>
          <w:tcPr>
            <w:tcW w:w="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652,275</w:t>
            </w: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Valuation allowance</w:t>
            </w:r>
          </w:p>
        </w:tc>
        <w:tc>
          <w:tcPr>
            <w:tcW w:w="1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(370,485)</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(361,038)</w:t>
            </w:r>
          </w:p>
        </w:tc>
        <w:tc>
          <w:tcPr>
            <w:tcW w:w="0" w:type="dxa"/>
            <w:vAlign w:val="bottom"/>
          </w:tcPr>
          <w:p>
            <w:pPr>
              <w:spacing w:after="0"/>
              <w:rPr>
                <w:sz w:val="1"/>
                <w:szCs w:val="1"/>
                <w:color w:val="auto"/>
              </w:rPr>
            </w:pPr>
          </w:p>
        </w:tc>
      </w:tr>
      <w:tr>
        <w:trPr>
          <w:trHeight w:val="181"/>
        </w:trPr>
        <w:tc>
          <w:tcPr>
            <w:tcW w:w="7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1260" w:type="dxa"/>
            <w:vAlign w:val="bottom"/>
            <w:tcBorders>
              <w:top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226,642</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291,237</w:t>
            </w:r>
          </w:p>
        </w:tc>
        <w:tc>
          <w:tcPr>
            <w:tcW w:w="0" w:type="dxa"/>
            <w:vAlign w:val="bottom"/>
          </w:tcPr>
          <w:p>
            <w:pPr>
              <w:spacing w:after="0"/>
              <w:rPr>
                <w:sz w:val="1"/>
                <w:szCs w:val="1"/>
                <w:color w:val="auto"/>
              </w:rPr>
            </w:pP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ROU assets</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222,471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289,499</w:t>
            </w:r>
          </w:p>
        </w:tc>
        <w:tc>
          <w:tcPr>
            <w:tcW w:w="0" w:type="dxa"/>
            <w:vAlign w:val="bottom"/>
          </w:tcPr>
          <w:p>
            <w:pPr>
              <w:spacing w:after="0"/>
              <w:rPr>
                <w:sz w:val="1"/>
                <w:szCs w:val="1"/>
                <w:color w:val="auto"/>
              </w:rPr>
            </w:pPr>
          </w:p>
        </w:tc>
      </w:tr>
      <w:tr>
        <w:trPr>
          <w:trHeight w:val="208"/>
        </w:trPr>
        <w:tc>
          <w:tcPr>
            <w:tcW w:w="71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deferred tax assets</w:t>
            </w:r>
          </w:p>
        </w:tc>
        <w:tc>
          <w:tcPr>
            <w:tcW w:w="1260" w:type="dxa"/>
            <w:vAlign w:val="bottom"/>
            <w:tcBorders>
              <w:top w:val="single" w:sz="8" w:color="6D6D6D"/>
              <w:bottom w:val="single" w:sz="8" w:color="6D6D6D"/>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80" w:type="dxa"/>
            <w:vAlign w:val="bottom"/>
          </w:tcPr>
          <w:p>
            <w:pPr>
              <w:spacing w:after="0"/>
              <w:rPr>
                <w:sz w:val="18"/>
                <w:szCs w:val="18"/>
                <w:color w:val="auto"/>
              </w:rPr>
            </w:pPr>
          </w:p>
        </w:tc>
        <w:tc>
          <w:tcPr>
            <w:tcW w:w="780" w:type="dxa"/>
            <w:vAlign w:val="bottom"/>
            <w:tcBorders>
              <w:top w:val="single" w:sz="8" w:color="6D6D6D"/>
              <w:bottom w:val="single" w:sz="8" w:color="6D6D6D"/>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6D6D6D"/>
            </w:tcBorders>
          </w:tcPr>
          <w:p>
            <w:pPr>
              <w:spacing w:after="0" w:line="20" w:lineRule="exact"/>
              <w:rPr>
                <w:sz w:val="1"/>
                <w:szCs w:val="1"/>
                <w:color w:val="auto"/>
              </w:rPr>
            </w:pPr>
          </w:p>
        </w:tc>
        <w:tc>
          <w:tcPr>
            <w:tcW w:w="80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6D6D6D"/>
            </w:tcBorders>
          </w:tcPr>
          <w:p>
            <w:pPr>
              <w:spacing w:after="0" w:line="20" w:lineRule="exact"/>
              <w:rPr>
                <w:sz w:val="1"/>
                <w:szCs w:val="1"/>
                <w:color w:val="auto"/>
              </w:rPr>
            </w:pPr>
          </w:p>
        </w:tc>
        <w:tc>
          <w:tcPr>
            <w:tcW w:w="126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Realization of the deferred tax assets is dependent upon future taxable income, the amount and timing of which is uncertain. Accordingly, the U.S. federal and state deferred tax assets have been fully offset by a valuation allowance. With the exception of operations in Canada and some countries in Europe and the Middle East, the Company’s foreign deferred tax assets are fully offset by a valuation allowance. The valuation allowance increased by approximately $9.4 million and $77.9 million during the years ended December 31, 2024, and 2023, respectively.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tax net operating loss carryforwards for U.S. federal, state, and foreign purposes of approximately $715.4 million, $561.6 million, and $226.5 million, respectively. As of December 31, 2023, the Company had tax net operating loss carryforwards for U.S. federal, state, and foreign purposes, and capital loss carryforwards for foreign purposes of approximately $612.4 million, $507.5 million, and $203.3 million, respectively.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the federal net operating loss carryforwards, $11.0 million will begin to expire in 2035, and $704.4 million will carry forward indefinitely. The state and foreign net operating loss carryforwards will begin to expire in 2027.</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Utilization of the U.S. federal and state net operating loss, tax credits, and disallowed business interest expense carryforwards is subject to an annual limitation due to the ownership change limitations provided by the U.S. Tax Code and similar state provisions. The annual limitation may result in the expiration of net operating losses and credits before utilization.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Uncertain Tax Positions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adopted authoritative guidance, which prescribes a recognition threshold and measurement attribute for the consolidated financial statement recognition and measurement of uncertain tax positions taken, or expected to be taken, in its income tax return, and also provides guidance on derecognition, classification, interest and penalties, accounting in interim periods, disclosure, and transition.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is a reconciliation of the total amounts of unrecognized tax benefits (in thousands):</w:t>
            </w: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03"/>
        </w:trPr>
        <w:tc>
          <w:tcPr>
            <w:tcW w:w="7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Year ended December 31,</w:t>
            </w:r>
          </w:p>
        </w:tc>
        <w:tc>
          <w:tcPr>
            <w:tcW w:w="1260" w:type="dxa"/>
            <w:vAlign w:val="bottom"/>
          </w:tcPr>
          <w:p>
            <w:pPr>
              <w:spacing w:after="0"/>
              <w:rPr>
                <w:sz w:val="24"/>
                <w:szCs w:val="24"/>
                <w:color w:val="auto"/>
              </w:rPr>
            </w:pPr>
          </w:p>
        </w:tc>
      </w:tr>
      <w:tr>
        <w:trPr>
          <w:trHeight w:val="32"/>
        </w:trPr>
        <w:tc>
          <w:tcPr>
            <w:tcW w:w="7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7100" w:type="dxa"/>
            <w:vAlign w:val="bottom"/>
          </w:tcPr>
          <w:p>
            <w:pPr>
              <w:spacing w:after="0"/>
              <w:rPr>
                <w:sz w:val="15"/>
                <w:szCs w:val="15"/>
                <w:color w:val="auto"/>
              </w:rPr>
            </w:pPr>
          </w:p>
        </w:tc>
        <w:tc>
          <w:tcPr>
            <w:tcW w:w="1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 tax positions related to prior years</w:t>
            </w:r>
          </w:p>
        </w:tc>
        <w:tc>
          <w:tcPr>
            <w:tcW w:w="1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 tax positions related to current year</w:t>
            </w:r>
          </w:p>
        </w:tc>
        <w:tc>
          <w:tcPr>
            <w:tcW w:w="1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Subtraction: tax positions related to prior years</w:t>
            </w:r>
          </w:p>
        </w:tc>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100" w:type="dxa"/>
            <w:vAlign w:val="bottom"/>
            <w:tcBorders>
              <w:bottom w:val="single" w:sz="8" w:color="CCEEFF"/>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60" w:type="dxa"/>
            <w:vAlign w:val="bottom"/>
            <w:tcBorders>
              <w:bottom w:val="single" w:sz="8" w:color="6D6D6D"/>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6D6D6D"/>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6D6D6D"/>
            </w:tcBorders>
          </w:tcPr>
          <w:p>
            <w:pPr>
              <w:spacing w:after="0" w:line="20" w:lineRule="exact"/>
              <w:rPr>
                <w:sz w:val="1"/>
                <w:szCs w:val="1"/>
                <w:color w:val="auto"/>
              </w:rPr>
            </w:pPr>
          </w:p>
        </w:tc>
        <w:tc>
          <w:tcPr>
            <w:tcW w:w="80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6D6D6D"/>
            </w:tcBorders>
          </w:tcPr>
          <w:p>
            <w:pPr>
              <w:spacing w:after="0" w:line="20" w:lineRule="exact"/>
              <w:rPr>
                <w:sz w:val="1"/>
                <w:szCs w:val="1"/>
                <w:color w:val="auto"/>
              </w:rPr>
            </w:pPr>
          </w:p>
        </w:tc>
        <w:tc>
          <w:tcPr>
            <w:tcW w:w="1260" w:type="dxa"/>
            <w:vAlign w:val="bottom"/>
            <w:tcBorders>
              <w:top w:val="single" w:sz="8" w:color="CCEEFF"/>
              <w:bottom w:val="single" w:sz="8" w:color="6D6D6D"/>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files income tax returns in U.S. federal, various states, and international jurisdictions. All periods since inception are subject to examination by U.S. federal, state, and foreign authorities, where applicable. The Company is under examination by the Canada Revenue Agency (“CRA”) for the income tax returns filed for tax years ended December 31, 2018, 2019, 2021 and 2022. As of December 31, 2024, the examination is on-going, and no proposed adjustments have been provided by the CRA. The Company is also under examination by France for the income tax returns filed for the tax years ended December 31, 2022 and 2023. As of December 31, 2024, no tax assessments were made by the tax jurisdictions. There are currently no other pending income tax examinations. The Company’s 2021 through 2023 tax years remains subject to examination in the United States.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Related Party Transactions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year ended December 31, 2024, Francis Davidson, the Company’s former CEO and a former member of the Board participated in the August 2024 Preferred Financing with commitments of approximately $1.5 million. Mr. Davidson’s participation in the August 2024 Preferred Financing was approved by the Company’s Audit Committee pursuant to its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Person Transaction Policy. The Company did not have any material related party transactions in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Restructuring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March 2023, the Company announced a restructuring plan affecting approximately 14.0% of the corporate workforce. As part of this restructuring, the Company incurred $2.1 million in one-time restructuring costs, all of which were paid out in the year ended December 31, 2023.</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2024, the Company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$3.0 million, primarily related to employee severance and benefits costs, and were recognized and paid in the first quarter of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April 2025, the Company completed a reduction in force with approximately $2.8 million in associated one-time restructuring costs, all of which are expected to be paid out in the year ended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restructuring costs are included in restructuring and other charges in the consolidated statements of operations and comprehensive loss.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Securities Purchase Agreements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April 11, 2025, the Company entered into the April 2025 Securities Purchase Agreements, with certain qualified institutional buyers or accredited investors (each a “April 2025 Purchaser” and, collectively, the “April 2025 Purchasers”) whereby the Company issued and sold an aggregate of 17.98 million shares (the “Preferred Shares”) of Series A Preferred Stock, at a purchase price of $1.00 per share, resulting in aggregate gross proceeds to the Company of $17.98 million (such offering, the “April 2025 Preferred Financing”). The terms of the Preferred Shares are identical to the outstanding shares of Series A Preferred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April 2025 Securities Purchase Agreements, the April 2025 Purchasers each agreed that the Preferred Shares collectively will be immediately convertible into up to 19.99% of the outstanding shares of the Company’s common stock, par value $0.0001 per share, on April 11, 2025. The April 2025 Securities Purchase Agreements require the Company to hold a special meeting of stockholders within 30 calendar days after the Company has filed this Annual Report on Form 10-K for the purpose of obtaining stockholder approval of a proposal to approve the issuance of the shares of common stock issuable upon conversion of the Preferred Shares in accordance with Rule 5635 of Nasdaq and, such proposal, the (“Nasdaq Proposal”) and a proposal to increase the number of authorized shares of common stock to 210,921,255 shares (the “Authorized Share Proposal” and, such approvals for the Nasdaq Proposal and the Authorized Share Proposal collectively, the “2025 Stockholder Approval”). Following receipt of 2025 Stockholder Approval, the Preferred Shares are fully convertible into shares of Common Stock and will vote on all applicable matters in accordance with the Certificate of Designation. The Company obtained the 2025 Stockholder Approval at the Special Meeting of Stockholders held on June 6, 2025 (the “2025 Special Meeting”).</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April 2025 Securities Purchase Agreements also require the Company to file a registration statement under the Securities Act, within 30 calendar days of the filing this Annual Report on Form 10-K with respect to the resale of shares of common stock receivable upon conversion of the Preferred Shares.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Francis Davidson, the Company’s former CEO and a former member on the Board, entered into an April 2025 Securities Purchase Agreement with the Company as part of the April 2025 Preferred Financing, pursuant to which Mr. Davidson purchased $595,000 in the April 2025 Preferred Financing. Mr. Davidson has agreed that he may not convert any of his Preferred Shares to common stock prior to the Company’s receipt of the 2025 Stockholder Approval.</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the extent the April 2025 Purchasers do not already have such right, the April 2025 Securities Purchase Agreements grant the April 2025 Purchasers the right to purchase up to 25% of any Subsequent Financing until August 13, 2029. The April 2025 Purchasers are entitled to participate on a pro-rata basis (determined by their proportionate ownership of the common stock assuming conversion of their shares of Series A Preferred Stock) at a purchase price equal to 75% of the purchase price of any other investor in such Subsequent Financing.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Voting Support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April 2025 Preferred Financing, on April 11, 2025, the Company entered into an agreement with stockholders representing approximately 58% of the Company’s outstanding voting power prior to the April 2025 Preferred Financing (the “Voting Support Agreement”), pursuant to which the stockholder parties thereto agreed to, among other things, vote in favor of the Nasdaq Proposal, and the Authorized Share Proposal. The Voting Support Agreement terminated in accordance with its terms following the completion of the 2025 Special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Consent, Waiver and Sixth Amendment to Note and Warrant Purchase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11, 2025, the Company entered into the Waiver, Consent and Sixth Amendment (the “NPA Amendment”), by and among the Company, the subsidiary note obligors party thereto (together with the Company, the “Note Obligors”), the subsidiary guarantors party thereto (the “Guarantors”), the investors party thereto (the “Investors”) and Alter Domus (US) LLC, as collateral agent (“Agent”), which modifies the Note Purchase Agreement, and the subordinated secured notes issued pursuant to the Note Purchase Agreement (the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Among other things, the NPA Amendment provides for (i) certain waivers in connection with the consummation of the transactions contemplated by the April 2025 Securities Purchase Agreements,</w:t>
      </w:r>
    </w:p>
    <w:p>
      <w:pPr>
        <w:spacing w:after="0" w:line="23" w:lineRule="exact"/>
        <w:rPr>
          <w:sz w:val="20"/>
          <w:szCs w:val="20"/>
          <w:color w:val="auto"/>
        </w:rPr>
      </w:pPr>
    </w:p>
    <w:p>
      <w:pPr>
        <w:ind w:firstLine="5"/>
        <w:spacing w:after="0" w:line="266" w:lineRule="auto"/>
        <w:tabs>
          <w:tab w:leader="none" w:pos="21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of an amount equal to 15% of the sum of the aggregate principal amount of the Notes and accrued but unpaid interest on the Notes as of the amendment date, (iii) a reduction in the interest rate applicable to the Notes, (iv) an extension of the option to pay interest in kind, and (v) amendments to certain covenants under the Note Purchase Agreement.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connection with the Company’s entrance into the NPA Amendment, the Company issued warrants to the Investors to purchase an aggregate of up to 5 million shares of the Common Stock at $1.00 per share (collectively, the “NPA Warrants”). Each NPA Warrant will become exercisable after the Company obtains the 2025 Stockholder Approval and will be exercisable thereafter until April 11, 2030. The exercise price of the NPA Warrants is subject to adjustment in the event of stock dividends, stock splits, stock combinations, reorganizations or similar events affecting the Common Stock. Subject to limited exceptions, a holder of the NPA Warrants will not have the right to exercise any portion of its NPA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may increase or decrease this beneficial ownership limitation not to exceed 9.99% of the shares of Common Stock then outstanding, with any such increase becoming effective upon 61 days’ prior notice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Consent, Waiver and Sixth Amendment to 2022 Loan and Security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11, 2025, the Company entered into the SVB Amendment.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Among other things, the SVB Amendment provides for (i) certain waivers in connection with the consummation of the transactions contemplated by the April 2025 Securities Purchase Agreements,</w:t>
      </w:r>
    </w:p>
    <w:p>
      <w:pPr>
        <w:spacing w:after="0" w:line="23" w:lineRule="exact"/>
        <w:rPr>
          <w:sz w:val="20"/>
          <w:szCs w:val="20"/>
          <w:color w:val="auto"/>
        </w:rPr>
      </w:pPr>
    </w:p>
    <w:p>
      <w:pPr>
        <w:ind w:firstLine="5"/>
        <w:spacing w:after="0" w:line="266" w:lineRule="auto"/>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of the revolving line of credit from $60.0 million to $35.0 million and the reduction of the letter of credit sublimit from $45.0 million to $35.0 million, and (iii) amendments to certain of the covenants under the 2022 Loan and Security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Amendments to Articles of Incorporation or Bylaws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the consummation of the April 2025 Preferred Financing, on April 11, 2025, the holders of 70% of the shares of Series A Preferred Stock approved an amendment to the Certificate of Designation to increase the number of authorized shares of Series A Preferred Stock from 43.30 million to 61.28 million, consented to the transactions contemplated by the April 2025 Securities Purchase Agreements and approved matters related to the April 2025 Preferred Financing and the issuance of the New Delayed Draw Warrants that were subject to certain provisions in the Certificate of Designation. After obtaining such approval, the Company filed a Certificate of Amendment to the Certificate of Designation to increase the number of authorized shares of Series A Preferred Stock from 43.3 million to 61.28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Marriott License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11, 2025, the Company received the remaining $7.5 million of Key Money under the Marriott Agreement, completing the $15.0 million investment.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Exchange Act, as of the end of the period covered by this report.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Annual Report on Internal Controls Over Financial Reporting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including our principal executive officer and principal financial officer, is responsible for establishing and maintaining adequate internal controls over financial reporting as defined in Rules 13a-15(f) and 15d-15(f) under the Exchange Act. Our internal controls over financial reporting is a process designed to provide reasonable assurance regarding the reliability of our financial reporting and the preparation of our financial statements for external purposes in accordance with U.S. GAAP.</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internal controls over financial reporting, management recognizes that internal controls over financial reporting, no matter how well designed and operated, can provide only reasonable assurance of achieving the desired control objectives. In addition, the design of internal controls over financial reporting must reflect the fact that there are resource constraints, and that management is required to apply its judgment in evaluating the benefits of possible internal controls over financial reporting relative to their costs.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principal executive officer and principal financial officer, we have conducted an evaluation of the effectiveness of our internal controls over financial reporting based on criteria established in the COSO framework. Based on management’s evaluation, our principal executive officer and principal financial officer concluded that because of material weaknesses disclosed below, our internal controls over financial reporting as of December 31, 2024 was not effective.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controls over financial reporting, such that there is a reasonable possibility that a material misstatement of our annual or interim financial statements would not be prevented or detected on a timely basis.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Notwithstanding the identified material weaknesses, management, including our principal executive officer and principal financial officer, believes the consolidated financial statements included in this Annual Report on Form 10-K fairly represent in all material respects our results of operations, financial condition, and cash flows at and for the periods presented in accordance with U.S. GAAP.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management’s identified material weaknesses in internal controls over financial reporting</w:t>
      </w:r>
      <w:r>
        <w:rPr>
          <w:rFonts w:ascii="Times New Roman" w:cs="Times New Roman" w:eastAsia="Times New Roman" w:hAnsi="Times New Roman"/>
          <w:sz w:val="14"/>
          <w:szCs w:val="14"/>
          <w:i w:val="1"/>
          <w:iCs w:val="1"/>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previously identified a material weakness in our internal controls over financial reporting related to the control deficiencies in the process to capture and record lease agreements timely and accurately. Management has concluded that this material weakness in internal controls over financial reporting is due to the fact that the Company did not have the adequate resources with the appropriate level of experience and technical expertise to oversee the Company’s leasing business processes and related internal controls. This remains a material weakness as of December 31, 2024 as changes to the relevant controls did not operate for a sufficient period of time to evidence such controls to be operating effectively.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Asset Impairment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previously identified a material weakness regarding the lack of design and effective controls to identify and consider relevant impairment indicators, determination of asset valuation, and possible impairment of assets, including right-of-use assets. This remains a material weakness as of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Preferred Stock</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a material weakness regarding management’s review of the preferred stock transactions entered into by the Company. Management’s review of the control was determined to not be at a level of precision sufficient enough to identify key metrics which impacted the valuation and accounting treatment under GAAP of the preferred stock. This remains a material weakness as of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Control Activities, Control Environment and Information &amp; Communication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Given the aggregation of the material weaknesses noted above and other control deficiencies, we have identified related COSO material weaknesses, including: (i) deficiencies in the principles associated with the control activities component of the COSO framework relating to establishment of formal policies and procedures and consistent application thereof, (ii) deficiencies in the principles associated with the control environment component of the COSO framework relating to hiring and training sufficient personnel to timely support the Company’s internal controls objectives to ascertain whether the components of internal controls are present and functioning, and (iii) deficiencies in the principles associated with the information and communication component of the COSO framework relating to the insufficient communication of relevant financial information between key functions within the Company resulting in certain transactions and events not being communicated in a timely manner to those responsible for preparing and reviewing our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Remediation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Throughout 2024, we onboarded new team members with a greater level of experience and technical expertise to oversee key areas of our finance function, such as accounting which includes the Company’s leasing business processes and related internal controls. We also implemented improvements related to our lease process to capture and record lease agreements timely and accurately and we provided additional training to personnel responsible for the relevant controls. However, our enhancements did not operate for a sufficient period of time in 2024 to allow a reasonable period of evaluation for remediation of this material weakness to be considered complete.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remediate our lease material weaknesses, we will continue to focus on hiring talent with an appropriate level of experience and technical expertise to oversee key areas of our finance function, which includes the performance of controls over the Company’s accounting for leases. We will also continue to implement control design changes related to our lease process to capture and record lease agreements timely and accurately, and provided additional training to personnel responsible for the relevant controls. Further, we will continue to invest in appropriate resources with the level of experience and technical expertise necessary to design and operate effectively internal controls over our accounting for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Control Activities, Control Environment and Information &amp; Communication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Throughout 2024, we implemented improvements related to our establishment of formal policies and procedures in addition to onboarding more sufficient personnel to support our internal control objectives. However, our enhancements did not operate for a sufficient period of time in 2024 to allow a reasonable period of evaluation for remediation of this material weakness to be considered complete.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remediate our control activities and control environment material weaknesses, we have and are implementing improvements related to our establishment of formal policies and procedures in addition to hiring more sufficient personnel to support our internal control objectives. We will continue developing and maintaining policies and procedures. Additionally, we are committed to hiring sufficient personnel which are appropriate in both qualifications and experience for their relevant roles and improving collaboration between key functions within the Company to ensure timely and accurate reporting of financial matters. We have made notable progress in this area and will continue to evaluate our organization for areas of opportunity and further enhancement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Asset Impairment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remediate our asset impairment material weakness, we have and are implementing control improvements for assessing and valuing asset impairments, particularly as they apply to our ROU lease assets and related items, including but not limited to the use of qualified, external subject matter professionals during our asset impairment process. We will continue to execute and evaluate operating effectiveness of adequate internal control over our asset impairment evaluation and valuation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Preferred Stock</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remediate our preferred stock material weakness, we have and are implementing control improvements by engaging resources at the Company with experience in performing control activities over complex and/or non-routine transactions, as well as utilizing third-party consultants and specialists. We will continue to execute and evaluate operating effectiveness of adequate internal control over our preferred stock evaluation and valuation process.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changes to the design and performance of controls are implemented, we will need a sufficient period of time to evaluate the operating effectiveness of such controls.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Controls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as discussed above, during the period covered by this report, there has been no change in our internal controls over financial reporting that has materially affected, or is reasonably likely to materially affect, our internal controls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Immaterial Correction of Interim Condensed Consolidated Financial Statements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connection with our fiscal year-end close process, it was determined that the valuation of our Series A Preferred Stock, issued in August 2024, and related forward contract liability were misstated in our previously issued interim condensed consolidated financial statements as of and for the three and nine months ended September 30, 2024. We have properly accounted for this matter in our fiscal 2024 annual Consolidated Financial Statements included in this Form 10-K.</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evaluated the materiality of the valuation misstatement and, based on an analysis of quantitative and qualitative factors, concluded it was not material to the previously issued September 2024 interim financial statements, individually or in aggregate. However, we plan to prospectively correct the relevant prior period Condensed Consolidated Financial Statements and related footnotes for this matter in future filings.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 summary of the effects of the correction of the Company’s previously issued condensed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gridSpan w:val="9"/>
          </w:tcPr>
          <w:p>
            <w:pPr>
              <w:jc w:val="right"/>
              <w:ind w:right="100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gridSpan w:val="7"/>
          </w:tcPr>
          <w:p>
            <w:pPr>
              <w:jc w:val="right"/>
              <w:ind w:right="869"/>
              <w:spacing w:after="0"/>
              <w:rPr>
                <w:sz w:val="20"/>
                <w:szCs w:val="20"/>
                <w:color w:val="auto"/>
              </w:rPr>
            </w:pPr>
            <w:r>
              <w:rPr>
                <w:rFonts w:ascii="Times New Roman" w:cs="Times New Roman" w:eastAsia="Times New Roman" w:hAnsi="Times New Roman"/>
                <w:sz w:val="14"/>
                <w:szCs w:val="14"/>
                <w:color w:val="auto"/>
              </w:rPr>
              <w:t>Nine months ended September 30, 2024</w:t>
            </w:r>
          </w:p>
        </w:tc>
      </w:tr>
      <w:tr>
        <w:trPr>
          <w:trHeight w:val="32"/>
        </w:trPr>
        <w:tc>
          <w:tcPr>
            <w:tcW w:w="29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8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previously reported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As corrected</w:t>
            </w:r>
          </w:p>
        </w:tc>
        <w:tc>
          <w:tcPr>
            <w:tcW w:w="8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previously reported</w:t>
            </w:r>
          </w:p>
        </w:tc>
        <w:tc>
          <w:tcPr>
            <w:tcW w:w="138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Adjustments</w:t>
            </w:r>
          </w:p>
        </w:tc>
        <w:tc>
          <w:tcPr>
            <w:tcW w:w="200" w:type="dxa"/>
            <w:vAlign w:val="bottom"/>
          </w:tcPr>
          <w:p>
            <w:pPr>
              <w:spacing w:after="0"/>
              <w:rPr>
                <w:sz w:val="15"/>
                <w:szCs w:val="15"/>
                <w:color w:val="auto"/>
              </w:rPr>
            </w:pP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As corrected</w:t>
            </w:r>
          </w:p>
        </w:tc>
      </w:tr>
      <w:tr>
        <w:trPr>
          <w:trHeight w:val="32"/>
        </w:trPr>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24,322</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83,812</w:t>
            </w:r>
          </w:p>
        </w:tc>
      </w:tr>
      <w:tr>
        <w:trPr>
          <w:trHeight w:val="19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86,570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34,037</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120,607</w:t>
            </w:r>
          </w:p>
        </w:tc>
      </w:tr>
      <w:tr>
        <w:trPr>
          <w:trHeight w:val="32"/>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non-operating expense, net</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145,266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203,625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63,222</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58,359</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121,581</w:t>
            </w:r>
          </w:p>
        </w:tc>
      </w:tr>
      <w:tr>
        <w:trPr>
          <w:trHeight w:val="19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(196,505)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(254,864)</w:t>
            </w:r>
          </w:p>
        </w:tc>
      </w:tr>
      <w:tr>
        <w:trPr>
          <w:trHeight w:val="32"/>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(179,391)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(237,750)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(255,490)</w:t>
            </w:r>
          </w:p>
        </w:tc>
      </w:tr>
      <w:tr>
        <w:trPr>
          <w:trHeight w:val="212"/>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212"/>
        </w:trPr>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(179,391)</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(237,750)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(197,131)</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(255,490)</w:t>
            </w:r>
          </w:p>
        </w:tc>
      </w:tr>
      <w:tr>
        <w:trPr>
          <w:trHeight w:val="32"/>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(243,189)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(201,764)</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(260,123)</w:t>
            </w:r>
          </w:p>
        </w:tc>
      </w:tr>
      <w:tr>
        <w:trPr>
          <w:trHeight w:val="424"/>
        </w:trPr>
        <w:tc>
          <w:tcPr>
            <w:tcW w:w="4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 (unaudited)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3"/>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jc w:val="right"/>
              <w:ind w:right="149"/>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r>
      <w:tr>
        <w:trPr>
          <w:trHeight w:val="18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color w:val="auto"/>
              </w:rPr>
              <w:t>As previously 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Adjustments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As corrected</w:t>
            </w:r>
          </w:p>
        </w:tc>
      </w:tr>
      <w:tr>
        <w:trPr>
          <w:trHeight w:val="32"/>
        </w:trPr>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(197,131)</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(255,490)</w:t>
            </w:r>
          </w:p>
        </w:tc>
      </w:tr>
      <w:tr>
        <w:trPr>
          <w:trHeight w:val="19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preferred stock issuance</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59,490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24,322</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83,812</w:t>
            </w:r>
          </w:p>
        </w:tc>
      </w:tr>
      <w:tr>
        <w:trPr>
          <w:trHeight w:val="32"/>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86,570</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120,607</w:t>
            </w:r>
          </w:p>
        </w:tc>
      </w:tr>
      <w:tr>
        <w:trPr>
          <w:trHeight w:val="32"/>
        </w:trPr>
        <w:tc>
          <w:tcPr>
            <w:tcW w:w="2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Equity (unaudited)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43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6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20" w:type="dxa"/>
            <w:vAlign w:val="bottom"/>
            <w:gridSpan w:val="5"/>
          </w:tcPr>
          <w:p>
            <w:pPr>
              <w:ind w:left="2040"/>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5"/>
                <w:szCs w:val="15"/>
                <w:color w:val="auto"/>
              </w:rPr>
            </w:pPr>
          </w:p>
        </w:tc>
        <w:tc>
          <w:tcPr>
            <w:tcW w:w="2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5"/>
                <w:szCs w:val="15"/>
                <w:color w:val="auto"/>
              </w:rPr>
            </w:pPr>
          </w:p>
        </w:tc>
        <w:tc>
          <w:tcPr>
            <w:tcW w:w="19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 Stockholders' Deficit</w:t>
            </w:r>
          </w:p>
        </w:tc>
      </w:tr>
      <w:tr>
        <w:trPr>
          <w:trHeight w:val="32"/>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gridSpan w:val="3"/>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w w:val="99"/>
              </w:rPr>
              <w:t>As previously reported</w:t>
            </w:r>
          </w:p>
        </w:tc>
        <w:tc>
          <w:tcPr>
            <w:tcW w:w="2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Preferred stock accretion to redemption value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8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(25,892)</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(197,131)</w:t>
            </w: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2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959,501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(1,556,312)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(596,467)</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436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9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980" w:type="dxa"/>
            <w:vAlign w:val="bottom"/>
            <w:tcBorders>
              <w:top w:val="single" w:sz="8" w:color="CCEEFF"/>
            </w:tcBorders>
            <w:shd w:val="clear" w:color="auto" w:fill="CCEEFF"/>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Preferred stock accretion to redemption value</w:t>
            </w:r>
          </w:p>
        </w:tc>
        <w:tc>
          <w:tcPr>
            <w:tcW w:w="2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Paid-in-kind dividend on preferred stock</w:t>
            </w:r>
          </w:p>
        </w:tc>
        <w:tc>
          <w:tcPr>
            <w:tcW w:w="28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spacing w:after="0"/>
              <w:rPr>
                <w:sz w:val="16"/>
                <w:szCs w:val="16"/>
                <w:color w:val="auto"/>
              </w:rPr>
            </w:pP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(58,359)</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436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 corrected</w:t>
            </w:r>
          </w:p>
        </w:tc>
        <w:tc>
          <w:tcPr>
            <w:tcW w:w="2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9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980" w:type="dxa"/>
            <w:vAlign w:val="bottom"/>
            <w:tcBorders>
              <w:top w:val="single" w:sz="8" w:color="CCEEFF"/>
            </w:tcBorders>
            <w:shd w:val="clear" w:color="auto" w:fill="CCEEFF"/>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Preferred stock accretion to redemption value</w:t>
            </w:r>
          </w:p>
        </w:tc>
        <w:tc>
          <w:tcPr>
            <w:tcW w:w="2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(15,992)</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Paid-in-kind dividend on preferred stock</w:t>
            </w:r>
          </w:p>
        </w:tc>
        <w:tc>
          <w:tcPr>
            <w:tcW w:w="28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r>
      <w:tr>
        <w:trPr>
          <w:trHeight w:val="191"/>
        </w:trPr>
        <w:tc>
          <w:tcPr>
            <w:tcW w:w="2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spacing w:after="0"/>
              <w:rPr>
                <w:sz w:val="16"/>
                <w:szCs w:val="16"/>
                <w:color w:val="auto"/>
              </w:rPr>
            </w:pPr>
          </w:p>
        </w:tc>
        <w:tc>
          <w:tcPr>
            <w:tcW w:w="2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(255,490)</w:t>
            </w:r>
          </w:p>
        </w:tc>
      </w:tr>
      <w:tr>
        <w:trPr>
          <w:trHeight w:val="32"/>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968,542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(1,614,671)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(645,785)</w:t>
            </w:r>
          </w:p>
        </w:tc>
      </w:tr>
      <w:tr>
        <w:trPr>
          <w:trHeight w:val="32"/>
        </w:trPr>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effects of the correction on all affected line items of our previously reported Net Loss Per Common Share (in thousands, except share data)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gridSpan w:val="8"/>
          </w:tcPr>
          <w:p>
            <w:pPr>
              <w:ind w:left="860"/>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100" w:type="dxa"/>
            <w:vAlign w:val="bottom"/>
          </w:tcPr>
          <w:p>
            <w:pPr>
              <w:spacing w:after="0"/>
              <w:rPr>
                <w:sz w:val="16"/>
                <w:szCs w:val="16"/>
                <w:color w:val="auto"/>
              </w:rPr>
            </w:pPr>
          </w:p>
        </w:tc>
        <w:tc>
          <w:tcPr>
            <w:tcW w:w="31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previously reported</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As corrected</w:t>
            </w:r>
          </w:p>
        </w:tc>
        <w:tc>
          <w:tcPr>
            <w:tcW w:w="10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previously reported</w:t>
            </w:r>
          </w:p>
        </w:tc>
        <w:tc>
          <w:tcPr>
            <w:tcW w:w="2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Pr>
          <w:p>
            <w:pPr>
              <w:spacing w:after="0"/>
              <w:rPr>
                <w:sz w:val="15"/>
                <w:szCs w:val="15"/>
                <w:color w:val="auto"/>
              </w:rPr>
            </w:pPr>
          </w:p>
        </w:tc>
        <w:tc>
          <w:tcPr>
            <w:tcW w:w="9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As corrected</w:t>
            </w:r>
          </w:p>
        </w:tc>
        <w:tc>
          <w:tcPr>
            <w:tcW w:w="0" w:type="dxa"/>
            <w:vAlign w:val="bottom"/>
          </w:tcPr>
          <w:p>
            <w:pPr>
              <w:spacing w:after="0"/>
              <w:rPr>
                <w:sz w:val="1"/>
                <w:szCs w:val="1"/>
                <w:color w:val="auto"/>
              </w:rPr>
            </w:pPr>
          </w:p>
        </w:tc>
      </w:tr>
      <w:tr>
        <w:trPr>
          <w:trHeight w:val="32"/>
        </w:trPr>
        <w:tc>
          <w:tcPr>
            <w:tcW w:w="26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(179,391)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(255,490)</w:t>
            </w: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Accretion to redeemable value of</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15,992</w:t>
            </w: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Paid-in-kind dividend on preferred stock</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20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(205,283)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(223,022)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(49,318)</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(272,341)</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basic and diluted common</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11,521,492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11,521,492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11,235,725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11,235,725</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0" w:type="dxa"/>
            <w:vAlign w:val="bottom"/>
          </w:tcPr>
          <w:p>
            <w:pPr>
              <w:spacing w:after="0"/>
              <w:rPr>
                <w:sz w:val="1"/>
                <w:szCs w:val="1"/>
                <w:color w:val="auto"/>
              </w:rPr>
            </w:pPr>
          </w:p>
        </w:tc>
      </w:tr>
      <w:tr>
        <w:trPr>
          <w:trHeight w:val="32"/>
        </w:trPr>
        <w:tc>
          <w:tcPr>
            <w:tcW w:w="2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10b5-1 Trading Plans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none of the Company’s directors or Section 16 officers adopted or terminated any “Rule 10b5-1 trading arrangement” or any “non-Rule 10b5-1 trading arrangement,” as each term is defined in Item 408(a) of Regulation 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Date of Annual Meeting of Stockholders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The Board has scheduled the Company’s Annual Meeting of Stockholders (the “2025 Annual Meeting”) for November 6, 2025. Because the date of the 2025 Annual Meeting has been changed by more than 25 days from the first anniversary of the 2024 Annual Meeting, certain previously announced deadlines for stockholder nominations and proposals have been adjusted pursuant to the Bylaws.</w:t>
      </w:r>
    </w:p>
    <w:p>
      <w:pPr>
        <w:spacing w:after="0" w:line="32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4"/>
          <w:szCs w:val="14"/>
          <w:color w:val="auto"/>
        </w:rPr>
        <w:t>In order for a stockholder proposal or the nomination of a candidate for director to be considered, such proposal or nomination must be received by the Company at its principal executive offices by the deadlines set forth in the “New Deadline” column of the table below, and be in compliance with the Bylaws and, if applicable, Rule 14a-8 or Rule 14a-19 under the Securities Exchange Act of 1934.</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2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Submission</w:t>
            </w:r>
          </w:p>
        </w:tc>
        <w:tc>
          <w:tcPr>
            <w:tcW w:w="1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Rules and Requirements</w:t>
            </w:r>
          </w:p>
        </w:tc>
        <w:tc>
          <w:tcPr>
            <w:tcW w:w="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3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New Deadline</w:t>
            </w:r>
          </w:p>
        </w:tc>
      </w:tr>
      <w:tr>
        <w:trPr>
          <w:trHeight w:val="186"/>
        </w:trPr>
        <w:tc>
          <w:tcPr>
            <w:tcW w:w="420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Deadline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780" w:type="dxa"/>
            <w:vAlign w:val="bottom"/>
            <w:tcBorders>
              <w:right w:val="single" w:sz="8" w:color="auto"/>
            </w:tcBorders>
          </w:tcPr>
          <w:p>
            <w:pPr>
              <w:spacing w:after="0"/>
              <w:rPr>
                <w:sz w:val="16"/>
                <w:szCs w:val="16"/>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r>
      <w:tr>
        <w:trPr>
          <w:trHeight w:val="146"/>
        </w:trPr>
        <w:tc>
          <w:tcPr>
            <w:tcW w:w="4200" w:type="dxa"/>
            <w:vAlign w:val="bottom"/>
            <w:tcBorders>
              <w:left w:val="single" w:sz="8" w:color="auto"/>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color w:val="auto"/>
              </w:rPr>
              <w:t>Stockholder proposals for inclusion in 2025 Annual Meeting proxy</w:t>
            </w:r>
          </w:p>
        </w:tc>
        <w:tc>
          <w:tcPr>
            <w:tcW w:w="166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SEC Rule 14a-8</w:t>
            </w:r>
          </w:p>
        </w:tc>
        <w:tc>
          <w:tcPr>
            <w:tcW w:w="2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No</w:t>
            </w:r>
          </w:p>
        </w:tc>
        <w:tc>
          <w:tcPr>
            <w:tcW w:w="30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w w:val="96"/>
              </w:rPr>
              <w:t>later</w:t>
            </w:r>
          </w:p>
        </w:tc>
        <w:tc>
          <w:tcPr>
            <w:tcW w:w="3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than</w:t>
            </w:r>
          </w:p>
        </w:tc>
        <w:tc>
          <w:tcPr>
            <w:tcW w:w="3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5:00</w:t>
            </w:r>
          </w:p>
        </w:tc>
        <w:tc>
          <w:tcPr>
            <w:tcW w:w="360" w:type="dxa"/>
            <w:vAlign w:val="bottom"/>
            <w:tcBorders>
              <w:right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p.m.</w:t>
            </w:r>
          </w:p>
        </w:tc>
        <w:tc>
          <w:tcPr>
            <w:tcW w:w="378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color w:val="auto"/>
              </w:rPr>
              <w:t>No later than 5:00 p.m. Pacific Time on August 4, 2025. Pursuant</w:t>
            </w:r>
          </w:p>
        </w:tc>
      </w:tr>
      <w:tr>
        <w:trPr>
          <w:trHeight w:val="159"/>
        </w:trPr>
        <w:tc>
          <w:tcPr>
            <w:tcW w:w="420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materials</w:t>
            </w:r>
          </w:p>
        </w:tc>
        <w:tc>
          <w:tcPr>
            <w:tcW w:w="1660" w:type="dxa"/>
            <w:vAlign w:val="bottom"/>
            <w:tcBorders>
              <w:right w:val="single" w:sz="8" w:color="auto"/>
            </w:tcBorders>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Pacific  Time</w:t>
            </w:r>
          </w:p>
        </w:tc>
        <w:tc>
          <w:tcPr>
            <w:tcW w:w="880" w:type="dxa"/>
            <w:vAlign w:val="bottom"/>
            <w:tcBorders>
              <w:right w:val="single" w:sz="8" w:color="auto"/>
            </w:tcBorders>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on  July  11,</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to SEC Rule 14a-8, the deadline is a reasonable time before the</w:t>
            </w:r>
          </w:p>
        </w:tc>
      </w:tr>
      <w:tr>
        <w:trPr>
          <w:trHeight w:val="184"/>
        </w:trPr>
        <w:tc>
          <w:tcPr>
            <w:tcW w:w="420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company begins to print and send its proxy materials.</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right w:val="single" w:sz="8" w:color="auto"/>
            </w:tcBorders>
            <w:gridSpan w:val="2"/>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r>
      <w:tr>
        <w:trPr>
          <w:trHeight w:val="146"/>
        </w:trPr>
        <w:tc>
          <w:tcPr>
            <w:tcW w:w="4200" w:type="dxa"/>
            <w:vAlign w:val="bottom"/>
            <w:tcBorders>
              <w:left w:val="single" w:sz="8" w:color="auto"/>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color w:val="auto"/>
              </w:rPr>
              <w:t>Notice Provision for Other Items of Business or Director Nominees</w:t>
            </w:r>
          </w:p>
        </w:tc>
        <w:tc>
          <w:tcPr>
            <w:tcW w:w="166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Section 2.4(a)(ii) of Bylaws</w:t>
            </w:r>
          </w:p>
        </w:tc>
        <w:tc>
          <w:tcPr>
            <w:tcW w:w="5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Between</w:t>
            </w:r>
          </w:p>
        </w:tc>
        <w:tc>
          <w:tcPr>
            <w:tcW w:w="360" w:type="dxa"/>
            <w:vAlign w:val="bottom"/>
            <w:gridSpan w:val="2"/>
          </w:tcPr>
          <w:p>
            <w:pPr>
              <w:jc w:val="right"/>
              <w:ind w:right="9"/>
              <w:spacing w:after="0" w:line="146" w:lineRule="exact"/>
              <w:rPr>
                <w:sz w:val="20"/>
                <w:szCs w:val="20"/>
                <w:color w:val="auto"/>
              </w:rPr>
            </w:pPr>
            <w:r>
              <w:rPr>
                <w:rFonts w:ascii="Times New Roman" w:cs="Times New Roman" w:eastAsia="Times New Roman" w:hAnsi="Times New Roman"/>
                <w:sz w:val="14"/>
                <w:szCs w:val="14"/>
                <w:color w:val="auto"/>
              </w:rPr>
              <w:t>8:00</w:t>
            </w:r>
          </w:p>
        </w:tc>
        <w:tc>
          <w:tcPr>
            <w:tcW w:w="740" w:type="dxa"/>
            <w:vAlign w:val="bottom"/>
            <w:tcBorders>
              <w:right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a.m. Pacific</w:t>
            </w:r>
          </w:p>
        </w:tc>
        <w:tc>
          <w:tcPr>
            <w:tcW w:w="378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4"/>
                <w:szCs w:val="14"/>
                <w:color w:val="auto"/>
              </w:rPr>
              <w:t>No later than 5:00 p.m. Pacific Time on August 4, 2025. Pursuant</w:t>
            </w: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Time on</w:t>
            </w:r>
          </w:p>
        </w:tc>
        <w:tc>
          <w:tcPr>
            <w:tcW w:w="74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auto"/>
              </w:rPr>
              <w:t>August 25,</w:t>
            </w:r>
          </w:p>
        </w:tc>
        <w:tc>
          <w:tcPr>
            <w:tcW w:w="36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to Section 2.4(a)(ii) of Bylaws, if the first public announcement</w:t>
            </w: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gridSpan w:val="6"/>
          </w:tcPr>
          <w:p>
            <w:pPr>
              <w:spacing w:after="0" w:line="159" w:lineRule="exact"/>
              <w:rPr>
                <w:sz w:val="20"/>
                <w:szCs w:val="20"/>
                <w:color w:val="auto"/>
              </w:rPr>
            </w:pPr>
            <w:r>
              <w:rPr>
                <w:rFonts w:ascii="Times New Roman" w:cs="Times New Roman" w:eastAsia="Times New Roman" w:hAnsi="Times New Roman"/>
                <w:sz w:val="14"/>
                <w:szCs w:val="14"/>
                <w:color w:val="auto"/>
              </w:rPr>
              <w:t>and 5:00 p.m. Pacific Time</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of the date of the 2025 Annual Meeting is less than 100 days</w:t>
            </w: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on</w:t>
            </w:r>
          </w:p>
        </w:tc>
        <w:tc>
          <w:tcPr>
            <w:tcW w:w="6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auto"/>
              </w:rPr>
              <w:t>September</w:t>
            </w:r>
          </w:p>
        </w:tc>
        <w:tc>
          <w:tcPr>
            <w:tcW w:w="740" w:type="dxa"/>
            <w:vAlign w:val="bottom"/>
            <w:tcBorders>
              <w:right w:val="single" w:sz="8" w:color="auto"/>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24,  2025,</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prior to the date of the 2025 Annual Meeting, the deadline is the</w:t>
            </w: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gridSpan w:val="6"/>
          </w:tcPr>
          <w:p>
            <w:pPr>
              <w:spacing w:after="0" w:line="159" w:lineRule="exact"/>
              <w:rPr>
                <w:sz w:val="20"/>
                <w:szCs w:val="20"/>
                <w:color w:val="auto"/>
              </w:rPr>
            </w:pPr>
            <w:r>
              <w:rPr>
                <w:rFonts w:ascii="Times New Roman" w:cs="Times New Roman" w:eastAsia="Times New Roman" w:hAnsi="Times New Roman"/>
                <w:sz w:val="14"/>
                <w:szCs w:val="14"/>
                <w:color w:val="auto"/>
              </w:rPr>
              <w:t>assuming we do not change</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10th day following the day on which public announcement of the</w:t>
            </w: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gridSpan w:val="6"/>
          </w:tcPr>
          <w:p>
            <w:pPr>
              <w:spacing w:after="0" w:line="159" w:lineRule="exact"/>
              <w:rPr>
                <w:sz w:val="20"/>
                <w:szCs w:val="20"/>
                <w:color w:val="auto"/>
              </w:rPr>
            </w:pPr>
            <w:r>
              <w:rPr>
                <w:rFonts w:ascii="Times New Roman" w:cs="Times New Roman" w:eastAsia="Times New Roman" w:hAnsi="Times New Roman"/>
                <w:sz w:val="14"/>
                <w:szCs w:val="14"/>
                <w:color w:val="auto"/>
              </w:rPr>
              <w:t>the date of the 2025 Annual</w:t>
            </w:r>
          </w:p>
        </w:tc>
        <w:tc>
          <w:tcPr>
            <w:tcW w:w="37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date of the 2025 Annual Meeting was first made by the Company.</w:t>
            </w:r>
          </w:p>
        </w:tc>
      </w:tr>
      <w:tr>
        <w:trPr>
          <w:trHeight w:val="149"/>
        </w:trPr>
        <w:tc>
          <w:tcPr>
            <w:tcW w:w="420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6"/>
          </w:tcPr>
          <w:p>
            <w:pPr>
              <w:spacing w:after="0" w:line="149" w:lineRule="exact"/>
              <w:rPr>
                <w:sz w:val="20"/>
                <w:szCs w:val="20"/>
                <w:color w:val="auto"/>
              </w:rPr>
            </w:pPr>
            <w:r>
              <w:rPr>
                <w:rFonts w:ascii="Times New Roman" w:cs="Times New Roman" w:eastAsia="Times New Roman" w:hAnsi="Times New Roman"/>
                <w:sz w:val="14"/>
                <w:szCs w:val="14"/>
                <w:color w:val="auto"/>
              </w:rPr>
              <w:t>Meeting to be more than 25</w:t>
            </w:r>
          </w:p>
        </w:tc>
        <w:tc>
          <w:tcPr>
            <w:tcW w:w="3780" w:type="dxa"/>
            <w:vAlign w:val="bottom"/>
            <w:tcBorders>
              <w:right w:val="single" w:sz="8" w:color="auto"/>
            </w:tcBorders>
          </w:tcPr>
          <w:p>
            <w:pPr>
              <w:spacing w:after="0"/>
              <w:rPr>
                <w:sz w:val="12"/>
                <w:szCs w:val="12"/>
                <w:color w:val="auto"/>
              </w:rPr>
            </w:pP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w w:val="93"/>
              </w:rPr>
              <w:t>days</w:t>
            </w:r>
          </w:p>
        </w:tc>
        <w:tc>
          <w:tcPr>
            <w:tcW w:w="52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4"/>
                <w:szCs w:val="14"/>
                <w:color w:val="auto"/>
                <w:w w:val="95"/>
              </w:rPr>
              <w:t>from</w:t>
            </w:r>
          </w:p>
        </w:tc>
        <w:tc>
          <w:tcPr>
            <w:tcW w:w="140" w:type="dxa"/>
            <w:vAlign w:val="bottom"/>
          </w:tcPr>
          <w:p>
            <w:pPr>
              <w:spacing w:after="0"/>
              <w:rPr>
                <w:sz w:val="13"/>
                <w:szCs w:val="13"/>
                <w:color w:val="auto"/>
              </w:rPr>
            </w:pPr>
          </w:p>
        </w:tc>
        <w:tc>
          <w:tcPr>
            <w:tcW w:w="380" w:type="dxa"/>
            <w:vAlign w:val="bottom"/>
          </w:tcPr>
          <w:p>
            <w:pPr>
              <w:jc w:val="right"/>
              <w:ind w:right="49"/>
              <w:spacing w:after="0" w:line="159" w:lineRule="exact"/>
              <w:rPr>
                <w:sz w:val="20"/>
                <w:szCs w:val="20"/>
                <w:color w:val="auto"/>
              </w:rPr>
            </w:pPr>
            <w:r>
              <w:rPr>
                <w:rFonts w:ascii="Times New Roman" w:cs="Times New Roman" w:eastAsia="Times New Roman" w:hAnsi="Times New Roman"/>
                <w:sz w:val="14"/>
                <w:szCs w:val="14"/>
                <w:color w:val="auto"/>
              </w:rPr>
              <w:t>the</w:t>
            </w:r>
          </w:p>
        </w:tc>
        <w:tc>
          <w:tcPr>
            <w:tcW w:w="36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first</w:t>
            </w:r>
          </w:p>
        </w:tc>
        <w:tc>
          <w:tcPr>
            <w:tcW w:w="3780" w:type="dxa"/>
            <w:vAlign w:val="bottom"/>
            <w:tcBorders>
              <w:right w:val="single" w:sz="8" w:color="auto"/>
            </w:tcBorders>
          </w:tcPr>
          <w:p>
            <w:pPr>
              <w:spacing w:after="0"/>
              <w:rPr>
                <w:sz w:val="13"/>
                <w:szCs w:val="13"/>
                <w:color w:val="auto"/>
              </w:rPr>
            </w:pPr>
          </w:p>
        </w:tc>
      </w:tr>
      <w:tr>
        <w:trPr>
          <w:trHeight w:val="159"/>
        </w:trPr>
        <w:tc>
          <w:tcPr>
            <w:tcW w:w="42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anniversary</w:t>
            </w:r>
          </w:p>
        </w:tc>
        <w:tc>
          <w:tcPr>
            <w:tcW w:w="1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of</w:t>
            </w:r>
          </w:p>
        </w:tc>
        <w:tc>
          <w:tcPr>
            <w:tcW w:w="380" w:type="dxa"/>
            <w:vAlign w:val="bottom"/>
          </w:tcPr>
          <w:p>
            <w:pPr>
              <w:jc w:val="right"/>
              <w:ind w:right="9"/>
              <w:spacing w:after="0" w:line="159" w:lineRule="exact"/>
              <w:rPr>
                <w:sz w:val="20"/>
                <w:szCs w:val="20"/>
                <w:color w:val="auto"/>
              </w:rPr>
            </w:pPr>
            <w:r>
              <w:rPr>
                <w:rFonts w:ascii="Times New Roman" w:cs="Times New Roman" w:eastAsia="Times New Roman" w:hAnsi="Times New Roman"/>
                <w:sz w:val="14"/>
                <w:szCs w:val="14"/>
                <w:color w:val="auto"/>
              </w:rPr>
              <w:t>our</w:t>
            </w:r>
          </w:p>
        </w:tc>
        <w:tc>
          <w:tcPr>
            <w:tcW w:w="360" w:type="dxa"/>
            <w:vAlign w:val="bottom"/>
            <w:tcBorders>
              <w:right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2024</w:t>
            </w:r>
          </w:p>
        </w:tc>
        <w:tc>
          <w:tcPr>
            <w:tcW w:w="3780" w:type="dxa"/>
            <w:vAlign w:val="bottom"/>
            <w:tcBorders>
              <w:right w:val="single" w:sz="8" w:color="auto"/>
            </w:tcBorders>
          </w:tcPr>
          <w:p>
            <w:pPr>
              <w:spacing w:after="0"/>
              <w:rPr>
                <w:sz w:val="13"/>
                <w:szCs w:val="13"/>
                <w:color w:val="auto"/>
              </w:rPr>
            </w:pPr>
          </w:p>
        </w:tc>
      </w:tr>
      <w:tr>
        <w:trPr>
          <w:trHeight w:val="184"/>
        </w:trPr>
        <w:tc>
          <w:tcPr>
            <w:tcW w:w="420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Annual Meeting</w:t>
            </w:r>
          </w:p>
        </w:tc>
        <w:tc>
          <w:tcPr>
            <w:tcW w:w="360" w:type="dxa"/>
            <w:vAlign w:val="bottom"/>
            <w:tcBorders>
              <w:right w:val="single" w:sz="8" w:color="auto"/>
            </w:tcBorders>
          </w:tcPr>
          <w:p>
            <w:pPr>
              <w:spacing w:after="0"/>
              <w:rPr>
                <w:sz w:val="16"/>
                <w:szCs w:val="16"/>
                <w:color w:val="auto"/>
              </w:rPr>
            </w:pPr>
          </w:p>
        </w:tc>
        <w:tc>
          <w:tcPr>
            <w:tcW w:w="3780" w:type="dxa"/>
            <w:vAlign w:val="bottom"/>
            <w:tcBorders>
              <w:right w:val="single" w:sz="8" w:color="auto"/>
            </w:tcBorders>
          </w:tcPr>
          <w:p>
            <w:pPr>
              <w:spacing w:after="0"/>
              <w:rPr>
                <w:sz w:val="16"/>
                <w:szCs w:val="16"/>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notices of proposals by stockholders should be mailed to Sonder Holdings Inc., 447 Sutter St., Suite 405 #542, San Francisco, California 94105,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executive officers and directors, as of July 7, 2025:</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r>
      <w:tr>
        <w:trPr>
          <w:trHeight w:val="32"/>
        </w:trPr>
        <w:tc>
          <w:tcPr>
            <w:tcW w:w="3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19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Janice Sears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tcBorders>
              <w:bottom w:val="single" w:sz="8" w:color="CCEEFF"/>
            </w:tcBorders>
            <w:shd w:val="clear" w:color="auto" w:fill="CCEEFF"/>
          </w:tcPr>
          <w:p>
            <w:pPr>
              <w:spacing w:after="0"/>
              <w:rPr>
                <w:sz w:val="16"/>
                <w:szCs w:val="16"/>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 Director, and Chairperson</w:t>
            </w: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Hughes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32"/>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0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Martin Picard</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Chief Real Estate Officer</w:t>
            </w: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Rahul Thumati</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Accounting Officer</w:t>
            </w:r>
          </w:p>
        </w:tc>
      </w:tr>
      <w:tr>
        <w:trPr>
          <w:trHeight w:val="32"/>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0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Vanessa Barmack</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Counsel and Secretary</w:t>
            </w: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Prashant (Sean) Aggarwal</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10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2"/>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0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Sanjay Banker</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Michelle Frymire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10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2"/>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20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Simon Turner</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Frits Dirk van Paasschen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2"/>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40" w:type="dxa"/>
            <w:vAlign w:val="bottom"/>
          </w:tcPr>
          <w:p>
            <w:pPr>
              <w:spacing w:after="0"/>
              <w:rPr>
                <w:sz w:val="2"/>
                <w:szCs w:val="2"/>
                <w:color w:val="auto"/>
              </w:rPr>
            </w:pPr>
          </w:p>
        </w:tc>
      </w:tr>
      <w:tr>
        <w:trPr>
          <w:trHeight w:val="191"/>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Erin Wallace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shd w:val="clear" w:color="auto" w:fill="CCEEFF"/>
          </w:tcPr>
          <w:p>
            <w:pPr>
              <w:spacing w:after="0"/>
              <w:rPr>
                <w:sz w:val="16"/>
                <w:szCs w:val="16"/>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2"/>
        </w:trPr>
        <w:tc>
          <w:tcPr>
            <w:tcW w:w="3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Janice L. Sears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Janice L. Sears has served as Interim CEO since June 2025, director since January 2022, and Chairperson of the Board since January 2025, and previously as member of the Compensation Committee from January 2022 to June 2025, Chair of the Audit Committee from January 2022 to June 2025, and Lead Independent Director of the Board from December 2023 to January 2025. Ms. Sears previously served as a director of Legacy Sonder from August 2021 to January 2022. From April 1988 to January 2009, Ms. Sears served in a variety of positions at Banc of America Securities, an investment bank, including as Managing Director, Western Region Head in the Real Estate, Gaming &amp; Lodging Investment Banking Group and concurrently served as the San Francisco Market President for Bank of America (NYSE: BAC), a financial services company. Prior to this, Ms. Sears was a Real Estate Economist at both Chemical Bank Corporation, a bank holding company, and Citigroup Inc. (NYSE: C), a financial services company. Ms. Sears also serves on the board of directors as audit committee chair, member of the compensation committee, and member of the special committee at IQHQ, Inc., a life sciences real estate investment trust. Ms. Sears previously served on the board of directors as a member of the compensation committee and audit committee and chair of the audit committee at Invitation Homes Inc. (NYSE: INVH), a single-family home rental business, from February 2017 to May 2025. She also served on the board of directors and as audit committee chair of both Essex Property Trust Inc. (NYSE: ESS), a multi-family real estate investment trust, from 2011 to 2020, and BioMed Realty Trust, a life sciences real estate investment trust. She has also served as chair of the board of directors of The Swig Company, an owner of office buildings in New York and California. Ms. Sears holds a Bachelor of Arts in Economics and Marketing from the University of Delaware and is a member of the National Association of Corporate Directors where she is a certified director.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Ms. Sears brings to the Board her extensive financial background and experience working in the commercial real estate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Michael Hughes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Michael Hughes has served as Chief Financial Officer since January 2025. Mr. Hughes joined the Company from Spirit Realty Capital, Inc., a real estate investment trust, where he served as the Executive Vice President, Chief Financial Officer since April 2018. Mr. Hughes has also served in various leadership roles, including as Executive Vice President, Chief Financial Officer, at FelCor Lodging Trust Inc., a real estate investment trust, from May 2006 to October 2017. Mr. Hughes also served as Vice President, Corporate Finance at Wyndham Hotels &amp; Resorts, Inc., a hospitality company, from February 2002 to April 2006. Mr. Hughes holds a Chartered Financial Analyst designation and received a Bachelor of Arts in Business Administration and Management from Rhodes College.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Martin Picard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Martin Picard has served as our Chief Real Estate Officer since August 2022 and is a co-founder of Legacy Sonder. Mr. Picard previously served as our Global Head of Real Estate since January 2022 and Legacy Sonder’s Global Head of Real Estate since February 2019. He previously served as Legacy Sonder’s Vice President of Finance from May 2015 to February 2019. From September 2013 to March 2015, Mr. Picard was the Chief Executive Officer of Adzura Inc., an online advertising marketplace that he co-founded. Mr. Picard holds a Bachelor of Commerce in Accounting from Concordia University.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Rahul Thumati</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Rahul Thumati joined the Company as a consultant in December 2024 and has served as interim Chief Accounting Officer since January 2025. Since 2016, Mr. Thumati has served as a consultant in accounting and finance leadership roles in various companies. Mr. Thumati served as Chief Accounting Officer at F45 Training Holdings Inc., a fitness company, from March 2021 to October 2021. Mr. Thumati also served in interim Chief Financial Officer and interim Chief Accounting Officer roles while he was a consultant at Armanino LLP, an accounting and business consulting firm, from November 2018 to February 2020. Mr. Thumati is a certified public accountant (inactive) and received a Bachelor of Science in Business Administration from the University of Southern California and a Master of Accountancy from the University of Arizona.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Vanessa Barmack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Vanessa E. Barmack has served as General Counsel and Secretary since May 2025 and previously served as Interim General Counsel and Secretary from November 2024 to May 2025. Ms. Barmack also served as Associate General Counsel from August 2023 to November 2024 and joined Sonder in November 2021 as Managing Counsel. Prior to joining Sonder, Ms. Barmack was a partner in the Real Estate practice group at McDermott Will &amp; Emery LLP, an international law firm, based in the firm’s New York City office from 2013 to November 2021. Ms. Barmack holds a Bachelor of Arts in Government from the University of Redlands and a Juris Doctorate from University of Notre Dame.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Prashant (Sean) Aggarwal</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Prashant (Sean) Aggarwal has served as a director since October 2022, member of the Compensation Committee since October 2022, and Chair of the Nominating Committee since January 2025, and previously served as a member of the Nominating Committee from December 2022 to January 2025. Since February 2022, Mr. Aggarwal has served as Co-Founder and Chairman of Borderless AI, an artificial intelligence-powered human resource management platform. Since March 2016, Mr. Aggarwal has served as the Chief Executive Officer of Soar Capital LLC, an investment firm, where he focuses on investments in technology companies. Previously, Mr. Aggarwal served as the Chief Financial Officer at Trulia, Inc. (“Trulia”), an online real estate company. Prior to Trulia, Mr. Aggarwal served as the Vice President of Finance at PayPal, Inc. (NASDAQ: PYPL), an online payments company and at eBay, Inc. (NASDAQ: EBAY) (“eBay”), an e-commerce company, in various finance roles including Vice President of Finance. Prior to eBay, Mr. Aggarwal served as Director of Finance at Amazon.com, Inc. (NASDAQ: AMZN), an e-commerce company. Mr. Aggarwal started his career in investment banking with Merrill Lynch, Pierce, Fenner &amp; Smith Incorporated, a financial services company. Mr. Aggarwal serves as a member of the board of Lyft, Inc. (NASDAQ: LYFT) (“Lyft”), a transportation company, since February 2016 and as lead independent director of Lyft since April 2023. Mr. Aggarwal also serves as a member of the board of directors of Arlo Technologies, Inc. (NYSE: ARLO), a home security company, since October 2018. In addition, in the past five years, he served on the board of directors of Yatra Online, Inc. (NASDAQ: YTRA), an online travel company from March 2018 to January 2022. Mr. Aggarwal holds a Master of Management from Northwestern University, Kellogg School of Management.</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Mr. Aggarwal brings to the Board his significant operational experience as an executive with technology companies, and his deep understanding of finance, financial reporting, strategy, operations and risk management.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Sanjay Banker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Sanjay Banker has served as a director since January 2023. Mr. Banker has served as Chief Executive Officer of Private Medical, a high-end concierge medicine provider, since June 2024. Mr. Banker previously served as Sonder’s President and Chief Financial Officer from January 2022 to December 2022. Mr. Banker also served as the Chief Financial Officer at Legacy Sonder from January 2019 to January 2022 and President from September 2020 to January 2022. Mr. Banker previously served in a variety of positions and most recently as Partner at TPG Growth, an investment firm, from March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2013 to January 2019. From September 2004 to March 2013, Mr. Banker served in a variety of positions and most recently as Principal at Bain Capital L.P., an investment firm. Mr. Banker was with McKinsey &amp; Company, a management consulting firm, from September 1996 to August 2004, where he served most recently as an Engagement Manager. Mr. Banker holds a Bachelor of Science in Economics from the Wharton School at the University of Pennsylvania and a Master of Business Administration from Harvard Business School.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Banker brings to the Board his perspective and experience as Sonder’s former President and 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Michelle Frymire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Michelle Frymire has served as a director since September 2022, Chair of the Audit Committee since June 2025, Chair of the Investment Committee since January 2025, and member of the Nominating Committee since December 2022, and previously as Chair of the Nominating Committee from December 2022 to January 2025. Ms. Frymire most recently served as Chief Executive Officer of CWT, a global travel management platform, from May 2021 to May 2022, including during CWT’s reorganization under federal bankruptcy laws due to the impact of the COVID-19 pandemic on business travel. Prior to serving as CWT’s Chief Executive Officer, she served in roles of increasing responsibility, including President and Chief Financial Officer, from January 2019 to May 2022. Ms. Frymire served as Chief Financial Officer for U.S. Risk Insurance Group, LLC, a privately owned specialty lines underwriting manager and wholesale broker, from 2017 to 2019 and from 2015 to 2017, she served as Chief Financial Officer for Service King Collision Repair Centers, an automotive collision repair company. Ms. Frymire also served in positions from 2009 to 2015 at The Service Master Companies, Inc., a provider of residential and commercial services, including Vice President, Corporate FP&amp;A and Strategy and as Chief Financial Officer of TruGreen Companies LLC. From 2005 to 2009, she served as Chief Financial Officer of Starwood Vacation Ownership, a subsidiary of Starwood Hotels &amp; Resorts Worldwide, Inc. (previously NYSE: HOT), a hospitality company. Prior to this, Ms. Frymire served in a broad range of finance positions at Delta Air Lines, Inc. (NYSE: DAL), Continental Airlines, Inc. (previously NYSE: CAL), and American Airlines Group, Inc. (NASDAQ: AAL), each being a commercial airline company. Ms. Frymire currently serves as director, chair of the audit committee and a member of the compensation committee of NCR Atleos Corporation (NYSE: NATL), a provider of automated teller machines and related servicing. She also served previously on the boards of Six Flags Entertainment Corporation (NYSE: FUN) and its predecessor company Cedar Fair LLP, an owner and operator of regional amusement parks, water parks and hotels from to October 2022 to June 2025, where she served as chair of the audit committee and was a member of the people, compensation, and culture committee, and as a director and member of the audit and nominating &amp; governance committees of Spirit Realty Capital, Inc (previously NYSE: SRC). a real estate investment trust from 2021 to 2023. Ms. Frymire received a Bachelor of Arts in Economics from Austin College and a Master of Business Administration from the University of Texas at Austin McCombs School of Business.</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Ms. Frymire brings to the Board her extensive experience in strategy, multisite business operations, real estate development, finance and financial expertise, knowledge and experience in internal and external risk oversight, and executive leadership and management experience in the travel and hospitality industries.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Simon M. Turner</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Simon Turner has served as a director since September 2023, member of the Compensation Committee since September 2023, and Chair of the Compensation Committee since April 2024, and member of the Investment Committee since January 2025. Mr. Turner is the founder and Managing Director of Alpha Lodging Partners, LLC, a hospitality investment and advisory firm, since 2017. Mr. Turner previously served as President, Global Development of Starwood Hotels &amp; Resorts Worldwide, Inc. (previously NYSE: HOT), a hospitality company, from 2008 until its acquisition by Marriott International, Inc. in 2016. Earlier in his career, Mr. Turner held positions at Hotel Capital Advisors, Inc., a hotel investment advisory firm advising an ultra high-net worth investor, Salomon Brothers, Inc., an investment bank, and Pannell Kerr Forster, an accounting and consulting firm. Mr. Turner currently serves on the board of directors of Goldman Sachs Real Estate Income Trust, Inc., a real estate investment trust, Goldman Sachs Real Estate Finance Trust, Inc., a real estate debt enterprise where he chairs the audit committee of each company. He also serves on the board of directors of, Purchase Senior Learning Community Inc., a senior-living community, where he chairs the finance committee. Mr. Turner’s previous directorships include service on the boards of Watermark Lodging Trust, a hospitality real estate investment trust, Steigenberger Hotels AG, a German hotel company, ESH Hospitality, Inc., a real estate investment trust that owns and operates hotels, ClubCorp Holdings, Inc., a golf and leisure business, Fairmont Raffles Hotels International, a global hotel management company, and Four Seasons Hotels Limited, a luxury hotel and resort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Turner brings to the Board his extensive experience as an executive and board member in the hospitality and real estate sectors.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Frits Dirk van Paasschen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Frits Dirk van Paasschen has served as a director since January 2022, member of the Audit Committee since January 2022, and member of the Investment Committee since January 2025, and previously served as Chair of the Compensation Committee from January 2022 to April 2024 and as a director of Legacy Sonder from February 2020 to January 2022. From September 2007 to February 2015, Mr. van Paasschen served as the President and Chief Executive Officer of Starwood Hotels and Resorts Worldwide, Inc. (previously NYSE: HOT), a hospitality company. Prior to that, Mr. van Paasschen served as the President and Chief Executive Officer of Coors Brewing Company (NYSE: TAP), a brewery and beer company, from 2005 to 2007. He currently serves on the board of directors at DSM-Frimenich AG, a science-driven company specializing in nutrition and health, Williams-Sonoma, Inc. (NYSE: WSM), a consumer retail company specializing in kitchen-wares and home furnishings, and Amadeus IT Group, S.A., a company that provides digital infrastructure for the travel industry. Mr. van Paasschen also serves on the board of directors of two private companies and as an advisor to a global investment firm. Mr. van Paasschen holds a Bachelor of Arts in Economics and Biology from Amherst College and a Master of Business Administration from Harvard Business School.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van Paasschen brings to the Board his extensive knowledge of the real estate and hospitality industries and his international experience.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Erin Wallace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Ms. Wallace has served as a director, member of the Audit Committee, and member of the Nominating Committee, each since January 2025. Ms. Wallace has over 30 years of industry experience and nearly 10 years as a board member. She served as the Chief Operating Officer at Great Wolf Resorts, Inc., an entertainment and hospitality corporation, from August 2016 to December 2019. She also served as the Chief Operating Officer of The Learning Care Group, Inc., a childcare and early childhood education company, from February 2015 to August 2016. Ms. Wallace’s business experience includes several leadership roles with The Walt Disney Company (NYSE: DIS), a mass media and entertainment corporation, from 1985 to 2015. Since October 2015, Ms. Wallace has served as a director of FirstService Corporation (NASDAQ: FSV), a North American leader in the property services sector, where she chairs the governance committee and is a member of the executive compensation committee. Ms. Wallace also has served on the board of directors of Coast Entertainment Holdings Limited, an entertainment and leisure company, since January 2022. She received a Master of Business Administration from Rollins College and a Bachelor of Science in Industrial Engineering from the University of Florida.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Ms. Wallace brings to the Board her operational experience and knowledge in the hospitality industry and extensive knowledge of serving on boards of directors of public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family relationships between any director or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Involvement in Certain Legal Proceedings</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There are no material legal proceedings in which any director, officer or affiliate of the Company, any owner of record or beneficially of more than 5% of any class of voting securities of the Company, or any associate of any such director, officer, affiliate, or security holder is a party adverse to the Company or any of its subsidiaries or has a material interest adverse to the Company or any of its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16(a) Beneficial Ownership Reporting Compliance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Section 16(a) of the Exchange Act requires our officers, directors, and persons who beneficially own more than ten percent of our common stock to file reports of ownership and changes in ownership with the SEC. These reporting persons are also required to furnish us with copies of all Section 16(a) forms they file. To our knowledge, based solely upon a review of such reports filed with the SEC, during the fiscal year ended December 31, 2024, we believe that all required reports pursuant to Section 16(a) of the Exchange Act were timely filed, except one untimely Form 4 for each of Mr. Davidson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Banker that were filed on August 19, 2024 and reported the transaction related to the August 2024 Preferred Financing. These untimely filings were due to administrative error.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Board has adopted a Code of Business Conduct and Ethics that applies to all employees and directors, including our principal executive officer, principal financial officer, principal accounting officer, other executive officers, and other senior financial personnel. A copy of our Code of Business Conduct and Ethics is available in the Investor Relations section of our website at investors.sonder.com under “Corporate Governance—Document &amp; Charters—Governance Documents.” Information on or accessible through our website is not incorporated by reference in this Annual Report. If we make any substantive amendment to a provision of our Code of Business Conduct and Ethics that applies to, or grant any waiver from a provision of our Code of Business Conduct and Ethics to, our principal executive officer, principal financial officer, principal accounting officer or controller, or persons performing similar functions, we will promptly disclose the date and nature of the amendment or waiver (including the name of the person to whom the waiver was granted) on our website in accordance with the requirements of Item 5.05 of Current Report on Form 8-K.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Board Composition</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Board currently consists of seven members. In accordance with our Amended and Restated Certificate of Incorporation (the “Restated Certificate”) and our Bylaws, our Board is divided into three classes with staggered terms. At each annual meeting of stockholders, the successors to directors whose terms then expire will be elected to serve from the time of election and qualification until the third annual meeting following election. The authorized number of directors may be changed by resolution of the Board. Our directors are divided among the three classes as follows:</w:t>
      </w:r>
    </w:p>
    <w:p>
      <w:pPr>
        <w:spacing w:after="0" w:line="157" w:lineRule="exact"/>
        <w:rPr>
          <w:sz w:val="20"/>
          <w:szCs w:val="20"/>
          <w:color w:val="auto"/>
        </w:rPr>
      </w:pPr>
    </w:p>
    <w:p>
      <w:pPr>
        <w:ind w:left="640" w:hanging="126"/>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 directors consist of Prashant (Sean) Aggarwal, whose term expires at the 2025 annual meeting of stockholders;</w:t>
      </w:r>
    </w:p>
    <w:p>
      <w:pPr>
        <w:spacing w:after="0" w:line="23"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 directors consist of Michelle Frymire, Simon Turner, and Erin Wallace whose terms expire at the 2026 annual meeting of stockholders; and</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III directors consist of Janice Sears, Frits Dirk van Paasschen, and Sanjay Banker, whose terms expire at the 2027 annual meeting of stockholders.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Only one class of directors will be elected at each annual meeting of our stockholders, with the other classes continuing for the remainder of their respective terms. Each director’s term continues until the election and qualification of their successor, or their earlier death, resignation or removal.</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Nominating, Corporate Governance, and Social Responsibility Committee (the “Nominating Committee”) of the Board identifies, reviews and makes recommendations of candidates to serve on our Board, and considers director qualifications that contribute to the total mix of viewpoints and experience represented on the Board.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Audit Committee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was established by the Board to assist the Board in its oversight of:</w:t>
      </w:r>
    </w:p>
    <w:p>
      <w:pPr>
        <w:spacing w:after="0" w:line="200" w:lineRule="exact"/>
        <w:rPr>
          <w:sz w:val="20"/>
          <w:szCs w:val="20"/>
          <w:color w:val="auto"/>
        </w:rPr>
      </w:pPr>
    </w:p>
    <w:p>
      <w:pPr>
        <w:ind w:left="640" w:hanging="126"/>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and integrity of the Company’s accounting and financial reporting processes and internal controls;</w:t>
      </w:r>
    </w:p>
    <w:p>
      <w:pPr>
        <w:spacing w:after="0" w:line="23"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statement audits and the integrity of the Company’s financial statements;</w:t>
      </w:r>
    </w:p>
    <w:p>
      <w:pPr>
        <w:spacing w:after="0" w:line="9" w:lineRule="exact"/>
        <w:rPr>
          <w:sz w:val="20"/>
          <w:szCs w:val="20"/>
          <w:color w:val="auto"/>
        </w:rPr>
      </w:pPr>
    </w:p>
    <w:p>
      <w:pPr>
        <w:ind w:left="520"/>
        <w:spacing w:after="0"/>
        <w:tabs>
          <w:tab w:leader="none" w:pos="6800" w:val="left"/>
        </w:tabs>
        <w:rPr>
          <w:sz w:val="20"/>
          <w:szCs w:val="20"/>
          <w:color w:val="auto"/>
        </w:rPr>
      </w:pPr>
      <w:r>
        <w:rPr>
          <w:rFonts w:ascii="Times New Roman" w:cs="Times New Roman" w:eastAsia="Times New Roman" w:hAnsi="Times New Roman"/>
          <w:sz w:val="14"/>
          <w:szCs w:val="14"/>
          <w:color w:val="auto"/>
        </w:rPr>
        <w:t>• the Company’s compliance with laws applicable to the financial statement and accounting and financial</w:t>
      </w:r>
      <w:r>
        <w:rPr>
          <w:sz w:val="20"/>
          <w:szCs w:val="20"/>
          <w:color w:val="auto"/>
        </w:rPr>
        <w:tab/>
      </w:r>
      <w:r>
        <w:rPr>
          <w:rFonts w:ascii="Times New Roman" w:cs="Times New Roman" w:eastAsia="Times New Roman" w:hAnsi="Times New Roman"/>
          <w:sz w:val="14"/>
          <w:szCs w:val="14"/>
          <w:color w:val="auto"/>
        </w:rPr>
        <w:t>reporting processes;</w:t>
      </w:r>
    </w:p>
    <w:p>
      <w:pPr>
        <w:spacing w:after="0" w:line="9" w:lineRule="exact"/>
        <w:rPr>
          <w:sz w:val="20"/>
          <w:szCs w:val="20"/>
          <w:color w:val="auto"/>
        </w:rPr>
      </w:pPr>
    </w:p>
    <w:p>
      <w:pPr>
        <w:ind w:left="640" w:hanging="126"/>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compliance with ethical standards adopted by the Company;</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systems of disclosure controls and procedures;</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and performance of the Company’s internal audit function;</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disclosures related to ESG matters; and</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enterprise-wide risk assessment, focusing on material risks.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Audit Committee also assists the Board in its oversight of the qualification, independence and performance of our independent registered public accounting firm and recommends to the Board the appointment of our independent registered public accounting firm and approval of audit and non-audit services provided by our independent registered public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firm. In addition, the Company’s Internal Audit function, together with the Audit Committee, has developed and maintains an enterprise risk management platform.</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Audit Committee currently consists of three directors: Mses. Frymire (Chair) and Wallace and Mr. van Paasschen. The Board annually reviews the Nasdaq listing standards’ definition of independence for Audit Committee members and has determined that all members of the Audit Committee are “independent” and comply with all financial literacy requirements of Nasdaq. The Board has determined that Ms. Sears qualifies as an “audit committee financial expert,” as defined in applicable SEC rules. In making that determination, the Board relied on the past business experience of Ms. Sears, as described above under the heading “—Directors and Executive Officers”.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Compensation Committee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Compensation Committee was established by the Board to assist the Board in its oversight of:</w:t>
      </w:r>
    </w:p>
    <w:p>
      <w:pPr>
        <w:spacing w:after="0" w:line="200" w:lineRule="exact"/>
        <w:rPr>
          <w:sz w:val="20"/>
          <w:szCs w:val="20"/>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compensation policies, plans, benefits programs, and overall compensation philosophy;</w:t>
      </w:r>
    </w:p>
    <w:p>
      <w:pPr>
        <w:spacing w:after="0" w:line="23"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of the CEO and executive officers;</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 matters related to executive compensation;</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Company’s compensation policies and practices;</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clawback and recoupment of compensation paid to employees;</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 and</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with respect to compensation matters affecting the Company.</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Compensation Committee currently consists of two directors: Messrs. Turner (Chair) and Aggarwal. The Board annually reviews the Nasdaq listing standards’ definition of independence for Compensation Committee members and has determined that all members of the Compensation Committee are “independent”.</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required by its charter, the Compensation Committee conducts a self-evaluation at least annually. The Compensation Committee also reviews and assesses the adequacy of its charter at least annually and recommends any proposed changes to the Board for its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 Committee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Investment Committee was established by the Board to assist the Board in its oversight of:</w:t>
      </w:r>
    </w:p>
    <w:p>
      <w:pPr>
        <w:spacing w:after="0" w:line="200" w:lineRule="exact"/>
        <w:rPr>
          <w:sz w:val="20"/>
          <w:szCs w:val="20"/>
          <w:color w:val="auto"/>
        </w:rPr>
      </w:pPr>
    </w:p>
    <w:p>
      <w:pPr>
        <w:ind w:left="640" w:hanging="126"/>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investment strategy, performance and policies;</w:t>
      </w:r>
    </w:p>
    <w:p>
      <w:pPr>
        <w:spacing w:after="0" w:line="23"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investment decisions; and</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investment decisions, approvals, and adherence to its policies.</w:t>
      </w:r>
    </w:p>
    <w:p>
      <w:pPr>
        <w:spacing w:after="0" w:line="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Investment Committee currently consists of three directors: Ms. Frymire (Chair) and Messrs. van Paasschen and Turner. The Board has determined that all members of the Investment Committee are “independent”.</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required by its charter, the Investment Committee conducts a self-evaluation at least annually. The Investment Committee also reviews and assesses the adequacy of its charter at least annually and recommends any proposed changes to the Board for its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Nominating Committee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Nominating Committee was established by the Board to assist the Board in its oversight of:</w:t>
      </w:r>
    </w:p>
    <w:p>
      <w:pPr>
        <w:spacing w:after="0" w:line="200" w:lineRule="exact"/>
        <w:rPr>
          <w:sz w:val="20"/>
          <w:szCs w:val="20"/>
          <w:color w:val="auto"/>
        </w:rPr>
      </w:pPr>
    </w:p>
    <w:p>
      <w:pPr>
        <w:ind w:left="640" w:hanging="126"/>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relating to the composition and membership of the Board and its committees;</w:t>
      </w:r>
    </w:p>
    <w:p>
      <w:pPr>
        <w:spacing w:after="0" w:line="23"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Board’s governance responsibilities;</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responsibility and sustainability;</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succession planning of the CEO and other members of the Company’s executive management team</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orientation and continuing education;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Board and committee performance.</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Nominating Committee currently consists of three directors: Mr. Aggarwal (Chair) and Mses. Frymire and Wallace. The Board has determined that all members of the Nominating Committee are “independent”.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by its charter, the Nominating Committee conducts a self-evaluation at least annually. The Investment Committee also reviews and assesses the adequacy of its charter at least annually and recommends any proposed changes to the Board for its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Insider Trading Policy</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 other dispositions of our securities by directors, officers, and employees that is reasonably designed to promote compliance with insider trading laws, rules and regulations. In addition, with regard to the Company's trading of its own securities, it is our policy to comply with federal securities laws and applicable exchange listing requirements.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Insider Trading Policy prohibits directors, officers, and employees of the Company from, among other things, (i) engaging in transactions while in possession of material non-public information (“MNPI”), (ii) engaging in certain derivative transactions, such as puts and calls, and other derivative securities with respect to the Company’s securities (other than stock options, performance awards, restricted stock units, and other compensatory awards issued by the Company), (iii) engaging in transactions related to the purchase of financial instruments (including prepaid variable forward contracts, equity swaps, collars, and exchange funds), or otherwise engaging in transactions that hedge or offset, or are designed to hedge or offset, any decrease in the market value of equity securities either granted by the Company as part of compensation or held, directly or indirectly, by such director, officer, or employee, (iv) holding Company securities in margin accounts, (v) using Company securities as collateral for any loan or as part of any other pledging transaction, (vi) engaging in short sales involving Company securities, (vii) selling Company securities of the same class within six months of purchase or purchasing Company securities of the same class within six months of sale; (viii) engaging in transactions where the instructions are to buy or sell Company securities and only if the price reaches specific criteria, other than those transactions that are open for only a limited duration, and (ix) engaging in other transactions that the Company may, from time to time, determine to be prohibited or allowed only with prior written consent. Our Insider Trading Policy requires that directors and executive officers complete certain pre-clearance procedures in order to trade in Company securities and permits trading plans that comply with Exchange Act Rule 10b5-1.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company operating in a highly competitive market at the intersection of the hospitality and technology industries, Sonder views its people as key drivers of its success. Sonder’s executive compensation program is designed to attract, retain, and motivate talented leaders, who enable us to succeed in a rapidly evolving competitive environment and achieve Sonder’s mission of making a world of better stays open to all. Sonder expects its executive team to demonstrate strong leadership and management capabilities and to strengthen its culture in order to achieve competitive advantage and speed of innovation.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Sonder’s executive compensation program is oriented towards long-term retention and value creation objectives, and is structured to ensure that a significant portion of executive compensation is tied to performance and the delivery of stockholder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Sonder’s executive compensation philosophy strives to achieve the following objectives:</w:t>
      </w:r>
    </w:p>
    <w:p>
      <w:pPr>
        <w:spacing w:after="0" w:line="200" w:lineRule="exact"/>
        <w:rPr>
          <w:sz w:val="20"/>
          <w:szCs w:val="20"/>
          <w:color w:val="auto"/>
        </w:rPr>
      </w:pPr>
    </w:p>
    <w:p>
      <w:pPr>
        <w:ind w:left="640" w:hanging="126"/>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market-competitive compensation opportunities to attract, retain, and motivate high performing executives whose experience, skills, and impact are critical to our success;</w:t>
      </w:r>
    </w:p>
    <w:p>
      <w:pPr>
        <w:spacing w:after="0" w:line="23" w:lineRule="exact"/>
        <w:rPr>
          <w:rFonts w:ascii="Times New Roman" w:cs="Times New Roman" w:eastAsia="Times New Roman" w:hAnsi="Times New Roman"/>
          <w:sz w:val="14"/>
          <w:szCs w:val="14"/>
          <w:color w:val="auto"/>
        </w:rPr>
      </w:pPr>
    </w:p>
    <w:p>
      <w:pPr>
        <w:ind w:left="640" w:hanging="126"/>
        <w:spacing w:after="0" w:line="253" w:lineRule="auto"/>
        <w:tabs>
          <w:tab w:leader="none" w:pos="63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cash compensation (consisting of fixed base salary and variable annual bonus) and long-term equity awards (consisting time-based awards and at-risk performance-based awards) that encourage appropriate levels of risk-taking by the executive team and align their interests with those of the Company’s stakeholders; and</w:t>
      </w:r>
    </w:p>
    <w:p>
      <w:pPr>
        <w:ind w:left="640" w:hanging="126"/>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Sonder’s compensation program is equitable for similarly-situated executives to drive collaboration towards achievement of its long-term business goals.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section provides an overview of Sonder’s executive compensation programs, including a narrative description of the material factors necessary to understand the information disclosed in the summary compensation table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14, 2024, the Audit Committee of the Company determined, based on management’s recommendation, that the Company’s previously issued audited consolidated financial statements for the year ended December 31, 2022 (the “2022 Annual Financial Statements”), and the unaudited condensed consolidated financial statements included in each of the Company’s quarterly reports on Form 10-Q filed with the SEC in 2023 (collectively with the 2022 Annual Financial Statements, the “Affected Financial Statements”), should no longer be relied upon. The Affected Financial Statements were previously restated and the Company concluded that, after conducting a recovery analysis of incentive-based compensation received by the Company’s executive officers during the relevant recovery period, that no clawback of incentive-based compensation was required because such compensation was not based on a financial reporting metric affected by the Affected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compensation awarded to, earned by or paid to our named executive officers for the fiscal years ended December 31, 2024, and 2023.</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8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Francis Davidson</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34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362,469</w:t>
            </w:r>
          </w:p>
        </w:tc>
        <w:tc>
          <w:tcPr>
            <w:tcW w:w="0" w:type="dxa"/>
            <w:vAlign w:val="bottom"/>
          </w:tcPr>
          <w:p>
            <w:pPr>
              <w:spacing w:after="0"/>
              <w:rPr>
                <w:sz w:val="1"/>
                <w:szCs w:val="1"/>
                <w:color w:val="auto"/>
              </w:rPr>
            </w:pPr>
          </w:p>
        </w:tc>
      </w:tr>
      <w:tr>
        <w:trPr>
          <w:trHeight w:val="211"/>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Executive Officer</w:t>
            </w:r>
            <w:r>
              <w:rPr>
                <w:rFonts w:ascii="Times New Roman" w:cs="Times New Roman" w:eastAsia="Times New Roman" w:hAnsi="Times New Roman"/>
                <w:sz w:val="18"/>
                <w:szCs w:val="18"/>
                <w:i w:val="1"/>
                <w:iCs w:val="1"/>
                <w:color w:val="auto"/>
                <w:vertAlign w:val="superscript"/>
              </w:rPr>
              <w:t>(3)</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360,000</w:t>
            </w:r>
          </w:p>
        </w:tc>
        <w:tc>
          <w:tcPr>
            <w:tcW w:w="24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360,000</w:t>
            </w:r>
          </w:p>
        </w:tc>
        <w:tc>
          <w:tcPr>
            <w:tcW w:w="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1,559,990</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Dominique Bourgault</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Financial Officer</w:t>
            </w:r>
            <w:r>
              <w:rPr>
                <w:rFonts w:ascii="Times New Roman" w:cs="Times New Roman" w:eastAsia="Times New Roman" w:hAnsi="Times New Roman"/>
                <w:sz w:val="18"/>
                <w:szCs w:val="18"/>
                <w:i w:val="1"/>
                <w:iCs w:val="1"/>
                <w:color w:val="auto"/>
                <w:vertAlign w:val="superscript"/>
              </w:rPr>
              <w:t>(4)</w:t>
            </w: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477,865</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477,865</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390,288</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1,340,690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1,730,978</w:t>
            </w:r>
          </w:p>
        </w:tc>
        <w:tc>
          <w:tcPr>
            <w:tcW w:w="0" w:type="dxa"/>
            <w:vAlign w:val="bottom"/>
          </w:tcPr>
          <w:p>
            <w:pPr>
              <w:spacing w:after="0"/>
              <w:rPr>
                <w:sz w:val="1"/>
                <w:szCs w:val="1"/>
                <w:color w:val="auto"/>
              </w:rPr>
            </w:pPr>
          </w:p>
        </w:tc>
      </w:tr>
      <w:tr>
        <w:trPr>
          <w:trHeight w:val="22"/>
        </w:trPr>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Martin Picard</w:t>
            </w:r>
          </w:p>
        </w:tc>
        <w:tc>
          <w:tcPr>
            <w:tcW w:w="10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378,708</w:t>
            </w:r>
          </w:p>
        </w:tc>
        <w:tc>
          <w:tcPr>
            <w:tcW w:w="2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34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381,791</w:t>
            </w: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Real Estate Officer</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355,635</w:t>
            </w:r>
          </w:p>
        </w:tc>
        <w:tc>
          <w:tcPr>
            <w:tcW w:w="2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34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861,425</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Katherine E. Potter</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Former Chief Legal and Administrative Officer</w:t>
            </w:r>
            <w:r>
              <w:rPr>
                <w:rFonts w:ascii="Times New Roman" w:cs="Times New Roman" w:eastAsia="Times New Roman" w:hAnsi="Times New Roman"/>
                <w:sz w:val="18"/>
                <w:szCs w:val="18"/>
                <w:i w:val="1"/>
                <w:iCs w:val="1"/>
                <w:color w:val="auto"/>
                <w:vertAlign w:val="superscript"/>
              </w:rPr>
              <w:t>(5)</w:t>
            </w: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450,865</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451,582</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121,154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121,154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hanging="255"/>
        <w:spacing w:after="0" w:line="260" w:lineRule="auto"/>
        <w:tabs>
          <w:tab w:leader="none" w:pos="259"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for Mr. Picard for fiscal year 2024 were converted into USD using the Bank of Canada annual CAD to USD 2024 exchange rate of US$1.00 = CAD 1.3698 or CAD 1.00 = US$0.7300. The amounts in this column for Mr. Picard for fiscal year 2023 were converted into USD using the Bank of Canada annual CAD to USD 2023 exchange rate of US$1.00 = CAD 1.3497 or CAD 1.00 = US$0.7409.</w:t>
      </w:r>
    </w:p>
    <w:p>
      <w:pPr>
        <w:jc w:val="both"/>
        <w:ind w:left="260" w:hanging="255"/>
        <w:spacing w:after="0" w:line="261" w:lineRule="auto"/>
        <w:tabs>
          <w:tab w:leader="none" w:pos="285"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amounts in this column represent the aggregate grant-date fair value of awards granted to each named executive officer in 2024 and 2023 (where applicable), computed in accordance with FASB ASC Topic 718. See Note 11, </w:t>
      </w:r>
      <w:r>
        <w:rPr>
          <w:rFonts w:ascii="Times New Roman" w:cs="Times New Roman" w:eastAsia="Times New Roman" w:hAnsi="Times New Roman"/>
          <w:sz w:val="11"/>
          <w:szCs w:val="11"/>
          <w:i w:val="1"/>
          <w:iCs w:val="1"/>
          <w:color w:val="auto"/>
        </w:rPr>
        <w:t>Equity</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Incentive Plans and Stock-Based Compensation, </w:t>
      </w:r>
      <w:r>
        <w:rPr>
          <w:rFonts w:ascii="Times New Roman" w:cs="Times New Roman" w:eastAsia="Times New Roman" w:hAnsi="Times New Roman"/>
          <w:sz w:val="11"/>
          <w:szCs w:val="11"/>
          <w:color w:val="auto"/>
        </w:rPr>
        <w:t>to the consolidated financial statements included within Part II, Item 8 of this Annual Report on Form 10-K for additional information regarding the assumptions made by Sonder in determining</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the grant-date fair value of Sonder’s equity awards.</w:t>
      </w:r>
    </w:p>
    <w:p>
      <w:pPr>
        <w:spacing w:after="0" w:line="1"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Davidson resigned from the Company effective June 24, 2025.</w:t>
      </w:r>
    </w:p>
    <w:p>
      <w:pPr>
        <w:spacing w:after="0" w:line="3"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Bourgault resigned from the Company effective December 2, 2024. The amount shown in the salary column for 2024 represents a partial year’s salary based on his December 2, 2024 end date. Mr. Bourgault’s annual salary was $495,000.</w:t>
      </w:r>
    </w:p>
    <w:p>
      <w:pPr>
        <w:spacing w:after="0" w:line="8" w:lineRule="exact"/>
        <w:rPr>
          <w:rFonts w:ascii="Times New Roman" w:cs="Times New Roman" w:eastAsia="Times New Roman" w:hAnsi="Times New Roman"/>
          <w:sz w:val="11"/>
          <w:szCs w:val="11"/>
          <w:color w:val="auto"/>
        </w:rPr>
      </w:pPr>
    </w:p>
    <w:p>
      <w:pPr>
        <w:ind w:left="260" w:hanging="255"/>
        <w:spacing w:after="0" w:line="283" w:lineRule="auto"/>
        <w:tabs>
          <w:tab w:leader="none" w:pos="253"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 Potter joined the Company as General Counsel and Secretary effective September 11, 2023. The amount shown in the salary column for 2023 represents a partial year’s salary based on her September 11, 2023 start date. Ms. Potter resigned from the Company effective November 22, 2024. The amount shown in the salary column for 2024 represents a partial year’s salary based on her November 22, 2024 termination date. Ms. Potter’s annual salary was $495,000.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Base Salaries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named executive officers receive base salaries to compensate them for services rendered to the Company. The base salary payable to each named executive officer is intended to provide a fixed component of compensation reflecting the executive’s skill set, experience, role, and responsibilities. The base salaries of our named executive officers are reviewed at least annually by the Compensation Committee and were increased in 2024 for each of our named executive officers, other than Mr. Davidson.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Awards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named executive officers participate in a long-term incentive plan (the “LTIP”) and are eligible to receive annual equity awards, which are critical to focusing our named executive officers on the Company’s long-term growth. Our equity awards for executive officers in 2024 were intended to be generally in the form of stock options, which typically have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vesting period of four years and vest on a monthly basis. Stock options granted to new hires typically have a vesting period of one year for 25% of the grant and terminate ten years after the grant date. Due to the Affected Financial Statements, the Company’s registration statement on Form S-8 for securities related to its employee incentive plans (the “Form S-8”) was no longer effective and could not be relied upon for the issuance of equity. Therefore, in April 2024, the Company suspended all exercises and purchases of Company securities under its equity plans, the issuance of shares of Company common stock pursuant to its equity plans, the settlement of any restricted stock units under its equity plans, and the grant of equity awards under its equity plans until the Company was able to use the Form S-8.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Award Timing Policies and Procedures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Item 402(x) of Regulation S-K, we are providing information regarding our procedures related to the grant of certain equity awards close in time to the release of MNPI. Although we do not have a formal policy, program, or plan that requires us to award equity or equity-based compensation on specific dates, we generally issue equity awards to our executive officers annually in the first quarter, and such awards are approved by our Compensation Committee during the first quarter. Additionally, our Insider Trading Policy prohibits directors, officers, and employees from trading in our securities while in possession of or on the basis of MNPI. We have not timed, and do not plan to time, the disclosure of MNPI for the purpose of affecting the value of executive compensation.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year ended December 31, 2024, no options were granted to our named executive officers within four business days prior to, or one business day following, the filing or furnishing of a periodic or current report by us that disclosed MNPI.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2025 Executive Compensation Program Updates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October 2024, the Compensation Committee, in consultation with its new independent compensation consultant, Ferguson Partners Consulting L.P. (“Ferguson”), began a process to review the Company’s executive compensation program, including to develop of an appropriate peer group, perform a market assessment of executive compensation, and assist in the development of updates to the Company’s executive compensation program. In March 2025, the Compensation Committee revised the executive compensation program by (i) adding an annual cash bonus plan (the “short-term incentive plan” or “STIP”) and (ii) revising the LTIP, as described in greater detail below. The base salaries for certain for our named executive officers were also increased by the Compensation Committee, in consultation with Ferguson, in order to better align with the market practices of companies in the Company’s peer group as follows: Mr. Davidson to $550,000 and Mr. Picard to $480,000.</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STIP is designed to motivate and reward our executives, including our named executive officers, for achievements relative to the Company’s goals and expectations for each fiscal year. The STIP for the fiscal year ending December 31, 2025 was approved in the spring of 2025 by the Compensation Committee. Each named executive officer has a target bonus opportunity, defined as a dollar amount and tied to certain pre-determined metrics established by the Compensation Committee. Following the end of the year, our Compensation Committee will determine the cash bonus (if any) for our executives, including our named executive officers, based on company performance against the pre-determined metrics, and retains discretion to allow for individual adjustments, based on such factors as it deems appropriate. The target bonus amounts for our named executive officers is $360,000 for Mr. Picard and was, prior to his termination of employment, $550,000 for Mr. Davidson.</w:t>
      </w: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the beginning of 2025, the LTIP was revised to grant equity awards in the form of performance stock units (“PSUs”) and restricted stock units (“RSUs”) to executive officers based on certain pre-determined metrics and related vesting criteria. The LTIP awards for our named executive officers for 2025, expressed as a percentage of the total equity award, were 80% PSUs and 20% RSUs for Mr. Davidson, and 70% PSUs and 30% RSUs for Mr. Picard. The PSUs are subject to pre-determined performance metrics consisting of strategic and financial goals and related vesting criteria. The number of PSUs that will be eligible to vest will be determined upon the Compensation Committee’s certification of achievement of the applicable metrics and criteria. The RSUs are subject to time-vesting conditions and generally vest 1/3 per year subject to the recipient continuing to provide services.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March 2025, the Company granted (i) Mr. Davidson 2,243,747 PSUs (at target) and 560,937 RSUs and (ii) Mr. Picard 1,096,227 PSUs (at target) and 469,811 RSUs. Mr. Hughes’ compensation has not been revised since his appointment as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June 24, 2025, Sonder and Mr. Davidson entered into a Separation Agreement and Release pursuant to which Mr. Davidson resigned as director and Chief Executive Officer of Sonder, as described in greater detail in the section below entitled, “</w:t>
      </w:r>
      <w:r>
        <w:rPr>
          <w:rFonts w:ascii="Times New Roman" w:cs="Times New Roman" w:eastAsia="Times New Roman" w:hAnsi="Times New Roman"/>
          <w:sz w:val="14"/>
          <w:szCs w:val="14"/>
          <w:i w:val="1"/>
          <w:iCs w:val="1"/>
          <w:color w:val="auto"/>
        </w:rPr>
        <w:t>Named Executive Officer Employment Agreements</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outstanding equity awards held by our named executive officers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Option Awards(1)(2)</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1740" w:type="dxa"/>
            <w:vAlign w:val="bottom"/>
            <w:tcBorders>
              <w:bottom w:val="single" w:sz="8" w:color="auto"/>
            </w:tcBorders>
          </w:tcPr>
          <w:p>
            <w:pPr>
              <w:spacing w:after="0"/>
              <w:rPr>
                <w:sz w:val="13"/>
                <w:szCs w:val="13"/>
                <w:color w:val="auto"/>
              </w:rPr>
            </w:pPr>
          </w:p>
        </w:tc>
      </w:tr>
      <w:tr>
        <w:trPr>
          <w:trHeight w:val="133"/>
        </w:trPr>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Equity Incentive Plan</w:t>
            </w:r>
          </w:p>
        </w:tc>
        <w:tc>
          <w:tcPr>
            <w:tcW w:w="1740" w:type="dxa"/>
            <w:vAlign w:val="bottom"/>
          </w:tcPr>
          <w:p>
            <w:pPr>
              <w:spacing w:after="0"/>
              <w:rPr>
                <w:sz w:val="11"/>
                <w:szCs w:val="11"/>
                <w:color w:val="auto"/>
              </w:rPr>
            </w:pPr>
          </w:p>
        </w:tc>
      </w:tr>
      <w:tr>
        <w:trPr>
          <w:trHeight w:val="117"/>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Awards: Number of</w:t>
            </w:r>
          </w:p>
        </w:tc>
        <w:tc>
          <w:tcPr>
            <w:tcW w:w="1740" w:type="dxa"/>
            <w:vAlign w:val="bottom"/>
          </w:tcPr>
          <w:p>
            <w:pPr>
              <w:spacing w:after="0"/>
              <w:rPr>
                <w:sz w:val="10"/>
                <w:szCs w:val="10"/>
                <w:color w:val="auto"/>
              </w:rPr>
            </w:pPr>
          </w:p>
        </w:tc>
      </w:tr>
      <w:tr>
        <w:trPr>
          <w:trHeight w:val="127"/>
        </w:trPr>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 Securities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Number of Securities</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Market Value of</w:t>
            </w:r>
          </w:p>
        </w:tc>
        <w:tc>
          <w:tcPr>
            <w:tcW w:w="60" w:type="dxa"/>
            <w:vAlign w:val="bottom"/>
          </w:tcPr>
          <w:p>
            <w:pPr>
              <w:spacing w:after="0"/>
              <w:rPr>
                <w:sz w:val="11"/>
                <w:szCs w:val="1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Unearned Shares,</w:t>
            </w:r>
          </w:p>
        </w:tc>
        <w:tc>
          <w:tcPr>
            <w:tcW w:w="1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Equity Incentive Plan Awards: Market</w:t>
            </w:r>
          </w:p>
        </w:tc>
      </w:tr>
      <w:tr>
        <w:trPr>
          <w:trHeight w:val="117"/>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Shares or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Shares or Units of</w:t>
            </w:r>
          </w:p>
        </w:tc>
        <w:tc>
          <w:tcPr>
            <w:tcW w:w="60" w:type="dxa"/>
            <w:vAlign w:val="bottom"/>
          </w:tcPr>
          <w:p>
            <w:pPr>
              <w:spacing w:after="0"/>
              <w:rPr>
                <w:sz w:val="10"/>
                <w:szCs w:val="1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Units or Other Rights</w:t>
            </w:r>
          </w:p>
        </w:tc>
        <w:tc>
          <w:tcPr>
            <w:tcW w:w="1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or Payout Value of Unearned Shares,</w:t>
            </w:r>
          </w:p>
        </w:tc>
      </w:tr>
      <w:tr>
        <w:trPr>
          <w:trHeight w:val="111"/>
        </w:trPr>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Unexercised Options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Unexercised Options</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w w:val="98"/>
              </w:rPr>
              <w:t>Option Exercise Price</w:t>
            </w:r>
          </w:p>
        </w:tc>
        <w:tc>
          <w:tcPr>
            <w:tcW w:w="320" w:type="dxa"/>
            <w:vAlign w:val="bottom"/>
          </w:tcPr>
          <w:p>
            <w:pPr>
              <w:spacing w:after="0"/>
              <w:rPr>
                <w:sz w:val="9"/>
                <w:szCs w:val="9"/>
                <w:color w:val="auto"/>
              </w:rPr>
            </w:pPr>
          </w:p>
        </w:tc>
        <w:tc>
          <w:tcPr>
            <w:tcW w:w="1080" w:type="dxa"/>
            <w:vAlign w:val="bottom"/>
            <w:tcBorders>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Option Expiration</w:t>
            </w:r>
          </w:p>
        </w:tc>
        <w:tc>
          <w:tcPr>
            <w:tcW w:w="60" w:type="dxa"/>
            <w:vAlign w:val="bottom"/>
          </w:tcPr>
          <w:p>
            <w:pPr>
              <w:spacing w:after="0"/>
              <w:rPr>
                <w:sz w:val="9"/>
                <w:szCs w:val="9"/>
                <w:color w:val="auto"/>
              </w:rPr>
            </w:pPr>
          </w:p>
        </w:tc>
        <w:tc>
          <w:tcPr>
            <w:tcW w:w="96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Units of Stock That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Stock That Have Not</w:t>
            </w:r>
          </w:p>
        </w:tc>
        <w:tc>
          <w:tcPr>
            <w:tcW w:w="60" w:type="dxa"/>
            <w:vAlign w:val="bottom"/>
          </w:tcPr>
          <w:p>
            <w:pPr>
              <w:spacing w:after="0"/>
              <w:rPr>
                <w:sz w:val="9"/>
                <w:szCs w:val="9"/>
                <w:color w:val="auto"/>
              </w:rPr>
            </w:pPr>
          </w:p>
        </w:tc>
        <w:tc>
          <w:tcPr>
            <w:tcW w:w="106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0"/>
                <w:szCs w:val="10"/>
                <w:b w:val="1"/>
                <w:bCs w:val="1"/>
                <w:color w:val="auto"/>
              </w:rPr>
              <w:t>That Have Not</w:t>
            </w:r>
          </w:p>
        </w:tc>
        <w:tc>
          <w:tcPr>
            <w:tcW w:w="174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Units or Other Rights That Have Not</w:t>
            </w:r>
          </w:p>
        </w:tc>
      </w:tr>
      <w:tr>
        <w:trPr>
          <w:trHeight w:val="180"/>
        </w:trPr>
        <w:tc>
          <w:tcPr>
            <w:tcW w:w="12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Exercisable (#)</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Unexercisable (#)</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Have Not Vested (#)</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0"/>
                <w:szCs w:val="10"/>
                <w:b w:val="1"/>
                <w:bCs w:val="1"/>
                <w:color w:val="auto"/>
                <w:w w:val="93"/>
              </w:rPr>
              <w:t>Vested ($)</w:t>
            </w:r>
            <w:r>
              <w:rPr>
                <w:rFonts w:ascii="Times New Roman" w:cs="Times New Roman" w:eastAsia="Times New Roman" w:hAnsi="Times New Roman"/>
                <w:sz w:val="16"/>
                <w:szCs w:val="16"/>
                <w:b w:val="1"/>
                <w:bCs w:val="1"/>
                <w:color w:val="auto"/>
                <w:w w:val="93"/>
                <w:vertAlign w:val="superscript"/>
              </w:rPr>
              <w:t>(3)</w:t>
            </w: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0"/>
                <w:szCs w:val="10"/>
                <w:b w:val="1"/>
                <w:bCs w:val="1"/>
                <w:color w:val="auto"/>
                <w:w w:val="87"/>
              </w:rPr>
              <w:t>Vested</w:t>
            </w:r>
            <w:r>
              <w:rPr>
                <w:rFonts w:ascii="Times New Roman" w:cs="Times New Roman" w:eastAsia="Times New Roman" w:hAnsi="Times New Roman"/>
                <w:sz w:val="16"/>
                <w:szCs w:val="16"/>
                <w:b w:val="1"/>
                <w:bCs w:val="1"/>
                <w:color w:val="auto"/>
                <w:w w:val="87"/>
                <w:vertAlign w:val="superscript"/>
              </w:rPr>
              <w:t>(4)</w:t>
            </w:r>
          </w:p>
        </w:tc>
        <w:tc>
          <w:tcPr>
            <w:tcW w:w="6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0"/>
                <w:szCs w:val="10"/>
                <w:b w:val="1"/>
                <w:bCs w:val="1"/>
                <w:color w:val="auto"/>
                <w:w w:val="90"/>
              </w:rPr>
              <w:t>Vested ($)</w:t>
            </w:r>
            <w:r>
              <w:rPr>
                <w:rFonts w:ascii="Times New Roman" w:cs="Times New Roman" w:eastAsia="Times New Roman" w:hAnsi="Times New Roman"/>
                <w:sz w:val="16"/>
                <w:szCs w:val="16"/>
                <w:b w:val="1"/>
                <w:bCs w:val="1"/>
                <w:color w:val="auto"/>
                <w:w w:val="90"/>
                <w:vertAlign w:val="superscript"/>
              </w:rPr>
              <w:t>(3)</w:t>
            </w:r>
          </w:p>
        </w:tc>
      </w:tr>
      <w:tr>
        <w:trPr>
          <w:trHeight w:val="167"/>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Francis Davidson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236,431</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(5)(6)</w:t>
            </w:r>
          </w:p>
        </w:tc>
        <w:tc>
          <w:tcPr>
            <w:tcW w:w="4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2/19/2031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74,942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$238,316</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7"/>
        </w:trPr>
        <w:tc>
          <w:tcPr>
            <w:tcW w:w="1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54,599</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70,400</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(9)</w:t>
            </w: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Borders>
              <w:bottom w:val="single" w:sz="8" w:color="CCEEFF"/>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3/16/2033</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464,999</w:t>
            </w:r>
          </w:p>
        </w:tc>
        <w:tc>
          <w:tcPr>
            <w:tcW w:w="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$1,478,697</w:t>
            </w:r>
          </w:p>
        </w:tc>
      </w:tr>
      <w:tr>
        <w:trPr>
          <w:trHeight w:val="202"/>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Dominique Bourgault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57,105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(11)</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color w:val="auto"/>
                <w:w w:val="98"/>
              </w:rPr>
              <w:t>3/16/2033</w:t>
            </w:r>
          </w:p>
        </w:tc>
        <w:tc>
          <w:tcPr>
            <w:tcW w:w="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2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(12)</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auto"/>
                <w:w w:val="98"/>
              </w:rPr>
              <w:t>9/12/2033</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Martin Picard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(13)</w:t>
            </w: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8/3/2027</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158,997</w:t>
            </w:r>
          </w:p>
        </w:tc>
        <w:tc>
          <w:tcPr>
            <w:tcW w:w="6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$1,239,995</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(15)</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11/9/2027</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(16)</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1/28/2029</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(17)</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1/28/2029</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(18)</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1/28/2029</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(19)</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1/28/2029</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11/15/2029</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(5)(21)</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2/7/2030</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2/7/2030</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(5)(23)</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6/18/2030</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(5)(24)</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11/5/2030</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(5)(25)</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2/19/2031</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(5)(26)</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11/11/2031</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21,886</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(5)(27)</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8/16/2032</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21,840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28,159</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(28)</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Borders>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3/16/2033</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7"/>
        </w:trPr>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(29)</w:t>
            </w: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Borders>
              <w:bottom w:val="single" w:sz="8" w:color="CCEEFF"/>
              <w:right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3"/>
                <w:szCs w:val="13"/>
                <w:color w:val="auto"/>
                <w:w w:val="98"/>
              </w:rPr>
              <w:t>9/12/2033</w:t>
            </w: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Katherine E. Potter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8"/>
                <w:szCs w:val="8"/>
                <w:color w:val="auto"/>
              </w:rPr>
              <w:t>(30)</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8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color w:val="auto"/>
                <w:w w:val="98"/>
              </w:rPr>
              <w:t>9/12/2033</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r>
    </w:tbl>
    <w:p>
      <w:pPr>
        <w:spacing w:after="0" w:line="248" w:lineRule="exact"/>
        <w:rPr>
          <w:sz w:val="20"/>
          <w:szCs w:val="20"/>
          <w:color w:val="auto"/>
        </w:rPr>
      </w:pPr>
    </w:p>
    <w:p>
      <w:pPr>
        <w:ind w:left="260" w:hanging="255"/>
        <w:spacing w:after="0" w:line="260" w:lineRule="auto"/>
        <w:tabs>
          <w:tab w:leader="none" w:pos="253"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stock options granted prior to 2020 were granted pursuant to the Sonder Canada Inc. Stock Option Plan. All stock options granted in 2020 and 2021 were granted pursuant to the Legacy Sonder 2019 Equity Incentive Plan, as amended (the “2019 Plan”). Unless otherwise indicated in the footnotes, all equity awards granted after 2021 were granted pursuant to the 2021 Equity Incentive Plan.</w:t>
      </w:r>
    </w:p>
    <w:p>
      <w:pPr>
        <w:jc w:val="both"/>
        <w:ind w:left="260" w:hanging="255"/>
        <w:spacing w:after="0" w:line="261" w:lineRule="auto"/>
        <w:tabs>
          <w:tab w:leader="none" w:pos="262"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connection with the Reverse Stock Split, each then-outstanding stock option then held by our named executive officers was adjusted as follows: (a) the number of shares subject to each such option was divided by twenty, with the resulting number rounded down to the nearest whole share; and (b) the exercise price applicable to each such outstanding option was multiplied by twenty, with the resulting price rounded up to the nearest whole cent. The amounts set forth in the table above with respect to options granted prior to September 21, 2023 reflect such adjustments.</w:t>
      </w:r>
    </w:p>
    <w:p>
      <w:pPr>
        <w:spacing w:after="0" w:line="1"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reflect the closing price of our common stock on the Nasdaq on December 31, 2024 (the last trading day of the fiscal year ended December 31, 2024).</w:t>
      </w:r>
    </w:p>
    <w:p>
      <w:pPr>
        <w:spacing w:after="0" w:line="3" w:lineRule="exact"/>
        <w:rPr>
          <w:rFonts w:ascii="Times New Roman" w:cs="Times New Roman" w:eastAsia="Times New Roman" w:hAnsi="Times New Roman"/>
          <w:sz w:val="11"/>
          <w:szCs w:val="11"/>
          <w:color w:val="auto"/>
        </w:rPr>
      </w:pPr>
    </w:p>
    <w:p>
      <w:pPr>
        <w:jc w:val="both"/>
        <w:ind w:left="260" w:hanging="255"/>
        <w:spacing w:after="0" w:line="260" w:lineRule="auto"/>
        <w:tabs>
          <w:tab w:leader="none" w:pos="277"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represent the performance-based RSU awards granted on May 15, 2022 under the 2021 Management Equity Incentive Plan (the “MEIP”), which vest (i) 1/6th on the date on which the Common Share Price (as defined in the MEIP) is equal to or greater than $260.00 (as adjusted for the Reverse Stock Split, Triggering Event I (as defined in the Merger Agreement)), (ii) 1/6th on the date on which the Common Share Price is equal to or greater than $310.00 (as adjusted for the Reverse Stock Split, Triggering Event II (as defined in the Merger Agreement)), (iii) 1/6th on the date on which the Common Share Price is equal to or greater than $360.00 (as adjusted for the Reverse Stock Split, Triggering Event III (as defined in the Merger Agreement)), (iv) 1/6th on the date on which the Common Share Price is equal to or greater than $410.00 (as adjusted for the Reverse Stock Split, Triggering Event IV (as defined in the Merger Agreement)), (v) 1/6th on the date on which the Common Share Price is equal to or greater than $460.00 (as adjusted for the Reverse Stock Split, Triggering Event V (as defined in the Merger Agreement)), and (vi) 1/6th on the date on which the Common Share Price is equal to or greater than $510.00 (as adjusted for the Reverse Stock Split, Triggering Event VI (as defined in the Merger Agreement)), subject in each case to the executive officer’s continued employment through the applicable vesting date. The performance period for the RSUs expires on July 17, 2027.</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jc w:val="both"/>
        <w:ind w:left="260" w:hanging="255"/>
        <w:spacing w:after="0" w:line="266" w:lineRule="auto"/>
        <w:tabs>
          <w:tab w:leader="none" w:pos="287"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1, 2022, certain of the Company’s named executive officers along with other employees participated in the Company’s one-time offer to reprice eligible stock options (the “Offer”), which expired on December 1, 2022 (the “Repricing Date”). The executive officer elected to tender this option for repricing pursuant to the Offer. On the Repricing Date, pursuant to the terms of the Offer, this option (i) had its per share exercise price repriced, (ii) became 100% unvested, and (iii) received a modified vesting schedule (with a 1-year vesting cliff which expired on December 1, 2023 (the “Vesting Cliff Date”)). On the Vesting Cliff Date, a number of shares subject to the option vested equal to the number of shares subject to the option that would have been vested on the Vesting Cliff Date if the option had not been tendered for repricing (including shares subject to the option that were vested as of the Repricing Date and shares subject to the option which would have vested during the period commencing on the Repricing Date and ending on the Vesting Cliff Date). Following the Vesting Cliff Date, the option will continue to vest according to the vesting schedule applicable to the option prior to the Repricing Date.</w:t>
      </w:r>
    </w:p>
    <w:p>
      <w:pPr>
        <w:spacing w:after="0" w:line="124" w:lineRule="exact"/>
        <w:rPr>
          <w:rFonts w:ascii="Times New Roman" w:cs="Times New Roman" w:eastAsia="Times New Roman" w:hAnsi="Times New Roman"/>
          <w:sz w:val="11"/>
          <w:szCs w:val="11"/>
          <w:color w:val="auto"/>
        </w:rPr>
      </w:pPr>
    </w:p>
    <w:p>
      <w:pPr>
        <w:jc w:val="both"/>
        <w:ind w:left="260" w:hanging="255"/>
        <w:spacing w:after="0" w:line="262" w:lineRule="auto"/>
        <w:tabs>
          <w:tab w:leader="none" w:pos="312"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stock granted on February 19, 2021 subject to performance-based vesting conditions with an original strike price of $121.80, after the application of adjustments to reflect the impact of the Business Combination and the Reverse Stock Split. Subject to Mr. Davidson remaining an employee through the applicable measurement date, the shares subject to the option will vest in three equal tranches if Sonder achieves certain market capitalization targets prior to December 31, 2025, December 31, 2026, and December 31, 2027, respectively. If an applicable market capitalization target is not achieved by the applicable deadline date, the shares subject to such target will be forfeited at no cost to the Company. The market value targets may be equitably adjusted for any capitalization adjustments pursuant to the 2019 Plan as determined by the Board in its sole and absolute discretion. Mr. Davidson elected to tender this option for repricing pursuant to the Offer. On the Repricing Date, pursuant to the terms of the Offer, the option (i) had its per share exercise price repriced, and (ii) received a modified vesting schedule (with a 1-year vesting cliff which expired on December 1, 2023).</w:t>
      </w:r>
    </w:p>
    <w:p>
      <w:pPr>
        <w:spacing w:after="0" w:line="126"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closing price of one share of the Company’s common stock on the Nasdaq Global Select Market on the Repricing Date, as adjusted for the Reverse Stock Split.</w:t>
      </w:r>
    </w:p>
    <w:p>
      <w:pPr>
        <w:spacing w:after="0" w:line="3" w:lineRule="exact"/>
        <w:rPr>
          <w:rFonts w:ascii="Times New Roman" w:cs="Times New Roman" w:eastAsia="Times New Roman" w:hAnsi="Times New Roman"/>
          <w:sz w:val="11"/>
          <w:szCs w:val="11"/>
          <w:color w:val="auto"/>
        </w:rPr>
      </w:pPr>
    </w:p>
    <w:p>
      <w:pPr>
        <w:jc w:val="both"/>
        <w:ind w:left="260" w:hanging="255"/>
        <w:spacing w:after="0" w:line="259" w:lineRule="auto"/>
        <w:tabs>
          <w:tab w:leader="none" w:pos="25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shares subject to performance-based vesting conditions. These shares were issued upon the exercise of an option granted on November 15, 2019, which was fully exercised for 8,243,677 shares by Mr. Davidson on December 2, 2019 through the issuance of a promissory note to Sonder in the amount of $24.6 million. On January 14, 2022, prior to the closing of the Business Combination, Legacy Sonder repurchased 1,855,938 shares of common stock of Legacy Sonder held by Mr. Davidson (the equivalent of 136,281 shares of the Company’s common stock after adjusting for the impact of the Business Combination and the Reverse Stock Split), and the proceeds of such sale were used to completely extinguish Mr. Davidson’s promissory note to the Company, which had a total principal and accrued interest amount of $25,704,735.34 as of the date of the transaction. 149,885 of the shares subject to the award vested in 72 equal monthly installments starting on October 1, 2017, generally subject to Mr. Davidson’s continued employment through each applicable vesting date. 262,298 shares subject to the award vest upon the achievement of performance-based vesting conditions: 112,414 shares vest upon a liquidity event, 74,942 shares vest upon a financing event, and 74,942 shares vest if Sonder achieves a target stock price of $105.40 (as adjusted for the Reverse Stock Split) on or prior to November 15, 2026, subject to Mr. Davidson remaining an employee through such vesting date. The shares subject to the liquidity event vesting condition and financing event vesting condition vested in February 2021. The shares subject to time-based vesting fully vested in September 2023. The award agreement provides that if Mr. Davidson’s employment is terminated outside of the one year period following a “liquidity event” by the Company or a related entity other than for “cause”, death or disability, or by Mr. Davidson for “good reason”, one sixth (1/6) of the shares subject to time-based vesting under the award agreement (the Davidson Time-Based Shares), or such lesser number of Davidson Time-Based Shares as then remain outstanding and unvested, will fully vest.</w:t>
      </w:r>
    </w:p>
    <w:p>
      <w:pPr>
        <w:spacing w:after="0" w:line="129" w:lineRule="exact"/>
        <w:rPr>
          <w:rFonts w:ascii="Times New Roman" w:cs="Times New Roman" w:eastAsia="Times New Roman" w:hAnsi="Times New Roman"/>
          <w:sz w:val="11"/>
          <w:szCs w:val="11"/>
          <w:color w:val="auto"/>
        </w:rPr>
      </w:pPr>
    </w:p>
    <w:p>
      <w:pPr>
        <w:ind w:left="260" w:hanging="255"/>
        <w:spacing w:after="0" w:line="258" w:lineRule="auto"/>
        <w:tabs>
          <w:tab w:leader="none" w:pos="261"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March 16, 2023, which vests in equal monthly installments over a period of 4 years beginning on April 13, 2023, generally subject to Mr. Davidson’s continued employment through each vesting date.</w:t>
      </w:r>
    </w:p>
    <w:p>
      <w:pPr>
        <w:ind w:left="300" w:hanging="295"/>
        <w:spacing w:after="0"/>
        <w:tabs>
          <w:tab w:leader="none" w:pos="30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closing price of one share of the Company’s common stock on the Nasdaq Global Select Market on the date of the grant, as adjusted for the Reverse Stock Split (where applicable).</w:t>
      </w:r>
    </w:p>
    <w:p>
      <w:pPr>
        <w:spacing w:after="0" w:line="3" w:lineRule="exact"/>
        <w:rPr>
          <w:rFonts w:ascii="Times New Roman" w:cs="Times New Roman" w:eastAsia="Times New Roman" w:hAnsi="Times New Roman"/>
          <w:sz w:val="11"/>
          <w:szCs w:val="11"/>
          <w:color w:val="auto"/>
        </w:rPr>
      </w:pPr>
    </w:p>
    <w:p>
      <w:pPr>
        <w:ind w:left="260" w:right="160" w:hanging="255"/>
        <w:spacing w:after="0" w:line="241" w:lineRule="auto"/>
        <w:tabs>
          <w:tab w:leader="none" w:pos="303"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pursuant to the 2023 Inducement Plan on March 16, 2023, which vests 25% on March 6, 2024 and vests in equal monthly installments on the 6th day of the month over a period of 36 months thereafter, generally subject to Mr. Bourgault’s continued employment through each applicable vesting date.</w:t>
      </w:r>
    </w:p>
    <w:p>
      <w:pPr>
        <w:ind w:left="260" w:right="160" w:hanging="255"/>
        <w:spacing w:after="0" w:line="241" w:lineRule="auto"/>
        <w:tabs>
          <w:tab w:leader="none" w:pos="307"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September 12, 2023, which vests in equal monthly installments over a period of 4 years beginning on October 1, 2023, generally subject to Mr. Bourgault’s continued employment through each vesting date.</w:t>
      </w:r>
    </w:p>
    <w:p>
      <w:pPr>
        <w:ind w:left="260" w:right="120" w:hanging="255"/>
        <w:spacing w:after="0" w:line="231" w:lineRule="auto"/>
        <w:tabs>
          <w:tab w:leader="none" w:pos="307"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August 3, 2017, after the application of adjustments to reflect the impact of the Business Combination and the Reverse Stock Split. This option vested 1/48th monthly beginning on May 1, 2017 and is 100% vested.</w:t>
      </w:r>
    </w:p>
    <w:p>
      <w:pPr>
        <w:ind w:left="300" w:hanging="295"/>
        <w:spacing w:after="0"/>
        <w:tabs>
          <w:tab w:leader="none" w:pos="30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market value of a share of Legacy Sonder common stock on the date of the grant, as determined by the Legacy Board, as adjusted to reflect the impact of the Business Combination and the Reverse Stock Split.</w:t>
      </w:r>
    </w:p>
    <w:p>
      <w:pPr>
        <w:spacing w:after="0" w:line="8" w:lineRule="exact"/>
        <w:rPr>
          <w:rFonts w:ascii="Times New Roman" w:cs="Times New Roman" w:eastAsia="Times New Roman" w:hAnsi="Times New Roman"/>
          <w:sz w:val="11"/>
          <w:szCs w:val="11"/>
          <w:color w:val="auto"/>
        </w:rPr>
      </w:pPr>
    </w:p>
    <w:p>
      <w:pPr>
        <w:ind w:left="260" w:hanging="255"/>
        <w:spacing w:after="0" w:line="261" w:lineRule="auto"/>
        <w:tabs>
          <w:tab w:leader="none" w:pos="318"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November 9, 2017, after the application of adjustments to reflect the impact of the Business Combination and the Reverse Stock Split. This option vested 1/48th monthly beginning on August 1, 2017 and is 100% vested.</w:t>
      </w:r>
    </w:p>
    <w:p>
      <w:pPr>
        <w:ind w:left="260" w:hanging="255"/>
        <w:spacing w:after="0" w:line="254" w:lineRule="auto"/>
        <w:tabs>
          <w:tab w:leader="none" w:pos="325"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January 28, 2019, after the application of adjustments to reflect the impact of the Business Combination and the Reverse Stock Split. The option vested 25% on January 28, 2020, 1/48th on January 31, 2020, and thereafter vested 1/48th in equal monthly installments on the last day of the month. This option is 100% vested.</w:t>
      </w:r>
    </w:p>
    <w:p>
      <w:pPr>
        <w:ind w:left="260" w:hanging="255"/>
        <w:spacing w:after="0" w:line="258" w:lineRule="auto"/>
        <w:tabs>
          <w:tab w:leader="none" w:pos="31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January 28, 2019, after the application of adjustments to reflect the impact of the Business Combination and the Reverse Stock Split. This option vested 1/48th monthly beginning on February 1, 2018 and is 100% vested.</w:t>
      </w:r>
    </w:p>
    <w:p>
      <w:pPr>
        <w:ind w:left="260" w:hanging="255"/>
        <w:spacing w:after="0" w:line="261" w:lineRule="auto"/>
        <w:tabs>
          <w:tab w:leader="none" w:pos="312"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January 28, 2019, after the application of adjustments to reflect the impact of the Business Combination and the Reverse Stock Split. This option vested 25% on December 14, 2019, 1/48th on December 31, 2019, and thereafter vested 1/48th in equal monthly installments on the last day of the month. This option is 100% vested.</w:t>
      </w:r>
    </w:p>
    <w:p>
      <w:pPr>
        <w:ind w:left="260" w:hanging="255"/>
        <w:spacing w:after="0" w:line="251" w:lineRule="auto"/>
        <w:tabs>
          <w:tab w:leader="none" w:pos="328"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January 28, 2019, after the application of adjustments to reflect the impact of the Business Combination and the Reverse Stock Split. This option vested 25% on March 27, 2018, 1/48th on March 31, 2018, and thereafter vested 1/48th in equal monthly installments on the last day of the month. This option is 100% vested.</w:t>
      </w:r>
    </w:p>
    <w:p>
      <w:pPr>
        <w:ind w:left="260" w:hanging="255"/>
        <w:spacing w:after="0" w:line="261" w:lineRule="auto"/>
        <w:tabs>
          <w:tab w:leader="none" w:pos="316"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November 15, 2019, after the application of adjustments to reflect the impact of the Business Combination and the Reverse Stock Split. This option vested 25% on August 13, 2020 and thereafter vested 1/48th in equal monthly installments. This option is 100% vested.</w:t>
      </w:r>
    </w:p>
    <w:p>
      <w:pPr>
        <w:jc w:val="both"/>
        <w:ind w:left="260" w:hanging="255"/>
        <w:spacing w:after="0" w:line="254" w:lineRule="auto"/>
        <w:tabs>
          <w:tab w:leader="none" w:pos="307"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vests 1/48th monthly beginning on March 4, 2020 (subject to a 12-month pause in vesting following the Repricing Date, which expired on the Vesting Cliff Date), generally subject to Mr. Picard’s continued employment through each vesting date.</w:t>
      </w:r>
    </w:p>
    <w:p>
      <w:pPr>
        <w:spacing w:after="0" w:line="1" w:lineRule="exact"/>
        <w:rPr>
          <w:rFonts w:ascii="Times New Roman" w:cs="Times New Roman" w:eastAsia="Times New Roman" w:hAnsi="Times New Roman"/>
          <w:sz w:val="11"/>
          <w:szCs w:val="11"/>
          <w:color w:val="auto"/>
        </w:rPr>
      </w:pPr>
    </w:p>
    <w:p>
      <w:pPr>
        <w:ind w:left="260" w:hanging="255"/>
        <w:spacing w:after="0" w:line="283" w:lineRule="auto"/>
        <w:tabs>
          <w:tab w:leader="none" w:pos="307"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vested 25% on May 5, 2016, 1/48 on June 30, 2016, and thereafter vested 1/48th in equal monthly installments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over a period of 36 months (subject to a 12 month pause in vesting following the Repricing Date, which expired on the Vesting Cliff Date). This option is 100% vested.</w:t>
      </w:r>
    </w:p>
    <w:p>
      <w:pPr>
        <w:spacing w:after="0" w:line="20" w:lineRule="exact"/>
        <w:rPr>
          <w:sz w:val="20"/>
          <w:szCs w:val="20"/>
          <w:color w:val="auto"/>
        </w:rPr>
      </w:pPr>
    </w:p>
    <w:p>
      <w:pPr>
        <w:jc w:val="both"/>
        <w:ind w:left="260" w:hanging="255"/>
        <w:spacing w:after="0" w:line="254" w:lineRule="auto"/>
        <w:tabs>
          <w:tab w:leader="none" w:pos="32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June 18, 2020 with an original strike price of $60.00, after the application of adjustments to reflect the impact of the Business Combination and the Reverse Stock Split. Mr. Picard elected to tender this option for repricing pursuant to the Offer. This option was originally 100% vested on the grant date. Pursuant to the terms of the Offer, this option became 100% unvested on the Repricing Date and became 100% vested again on the Vesting Cliff Date.</w:t>
      </w:r>
    </w:p>
    <w:p>
      <w:pPr>
        <w:spacing w:after="0" w:line="1" w:lineRule="exact"/>
        <w:rPr>
          <w:rFonts w:ascii="Times New Roman" w:cs="Times New Roman" w:eastAsia="Times New Roman" w:hAnsi="Times New Roman"/>
          <w:sz w:val="11"/>
          <w:szCs w:val="11"/>
          <w:color w:val="auto"/>
        </w:rPr>
      </w:pPr>
    </w:p>
    <w:p>
      <w:pPr>
        <w:jc w:val="both"/>
        <w:ind w:left="260" w:hanging="255"/>
        <w:spacing w:after="0" w:line="261" w:lineRule="auto"/>
        <w:tabs>
          <w:tab w:leader="none" w:pos="331"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November 5, 2020 with an original strike price of $58.60, after the application of adjustments to reflect the impact of the Business Combination and the Reverse Stock Split. Mr. Picard elected to tender this option for repricing pursuant to the Offer. This option vested 25% on November 5, 2021 and thereafter vests in equal monthly installments over a period of 36 months (subject to a 12-month pause in vesting following the Repricing Date, which expired on the Vesting Cliff Date).</w:t>
      </w:r>
    </w:p>
    <w:p>
      <w:pPr>
        <w:spacing w:after="0" w:line="1" w:lineRule="exact"/>
        <w:rPr>
          <w:rFonts w:ascii="Times New Roman" w:cs="Times New Roman" w:eastAsia="Times New Roman" w:hAnsi="Times New Roman"/>
          <w:sz w:val="11"/>
          <w:szCs w:val="11"/>
          <w:color w:val="auto"/>
        </w:rPr>
      </w:pPr>
    </w:p>
    <w:p>
      <w:pPr>
        <w:jc w:val="both"/>
        <w:ind w:left="260" w:hanging="255"/>
        <w:spacing w:after="0" w:line="254" w:lineRule="auto"/>
        <w:tabs>
          <w:tab w:leader="none" w:pos="326"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February 19, 2021 with an original strike price of $121.80,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March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1"/>
          <w:szCs w:val="11"/>
          <w:color w:val="auto"/>
        </w:rPr>
      </w:pPr>
    </w:p>
    <w:p>
      <w:pPr>
        <w:jc w:val="both"/>
        <w:ind w:left="260" w:hanging="255"/>
        <w:spacing w:after="0" w:line="256" w:lineRule="auto"/>
        <w:tabs>
          <w:tab w:leader="none" w:pos="32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November 11, 2021 with an original strike price of $164.60,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October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1"/>
          <w:szCs w:val="11"/>
          <w:color w:val="auto"/>
        </w:rPr>
      </w:pPr>
    </w:p>
    <w:p>
      <w:pPr>
        <w:jc w:val="both"/>
        <w:ind w:left="260" w:hanging="255"/>
        <w:spacing w:after="0" w:line="279" w:lineRule="auto"/>
        <w:tabs>
          <w:tab w:leader="none" w:pos="323"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August 16, 2022 with an original strike price of $51.00, after the application of adjustments to reflect the Reverse Stock Split. Mr. Picard elected to tender this option for repricing pursuant to the Offer. This option vests 1/48th in equal monthly installments over a period of 48 months starting on September 16, 2022 (subject to a 12-month pause in vesting following the Repricing Date, which expired on the Vesting Cliff Date).</w:t>
      </w:r>
    </w:p>
    <w:p>
      <w:pPr>
        <w:spacing w:after="0" w:line="116" w:lineRule="exact"/>
        <w:rPr>
          <w:rFonts w:ascii="Times New Roman" w:cs="Times New Roman" w:eastAsia="Times New Roman" w:hAnsi="Times New Roman"/>
          <w:sz w:val="11"/>
          <w:szCs w:val="11"/>
          <w:color w:val="auto"/>
        </w:rPr>
      </w:pPr>
    </w:p>
    <w:p>
      <w:pPr>
        <w:ind w:left="260" w:hanging="255"/>
        <w:spacing w:after="0" w:line="254" w:lineRule="auto"/>
        <w:tabs>
          <w:tab w:leader="none" w:pos="36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March 16, 2023. This option vests 1/48th in equal monthly installments over a period of 48 months starting on April 13, 2023, generally subject to Mr. Picard’s continued employment through each vesting date.</w:t>
      </w:r>
    </w:p>
    <w:p>
      <w:pPr>
        <w:ind w:left="260" w:hanging="255"/>
        <w:spacing w:after="0" w:line="258" w:lineRule="auto"/>
        <w:tabs>
          <w:tab w:leader="none" w:pos="337"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on September 12, 2023. This option vests 1/48th in equal monthly installments over a period of 48 months starting on October 1, 2023, generally subject to Mr. Picard’s continued employment through each vesting date.</w:t>
      </w:r>
    </w:p>
    <w:p>
      <w:pPr>
        <w:ind w:left="260" w:hanging="255"/>
        <w:spacing w:after="0" w:line="263" w:lineRule="auto"/>
        <w:tabs>
          <w:tab w:leader="none" w:pos="329"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option to purchase common stock granted pursuant to the 2023 Inducement Plan on September 12, 2023, which vests 25% on September 11, 2024 and vests in equal monthly installments on the 11th day of the month over a period of 36 months thereafter, generally subject to Ms. Potter’s continued employment through each applicable vesting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Named Executive Officer Employment Arrangements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entered into employment agreements or confirmatory offer letters setting forth the material terms and conditions of employment for certain of Sonder’s named executive officers, as described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Francis Davidson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Legacy Sonder entered into a confirmatory offer letter with Mr. Davidson, its former CEO, on September 14, 2021. Mr. Davidson’s offer letter provides for an annual base salary and eligibility to participate in Sonder’s employee benefit plans. Mr. Davidson’s annual base salary was increased to $550,000 in March 2025.</w:t>
      </w:r>
    </w:p>
    <w:p>
      <w:pPr>
        <w:spacing w:after="0" w:line="145"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On June 24, 2025, Sonder and Mr. Davidson entered into a Separation Agreement and Release (the “Separation Agreement”). The Separation Agreement provides that, subject to the terms of the Separation Agreement, Mr. Davidson will receive: (i) cash payments in the aggregate amount of $2,200,000, less applicable withholdings (which amount is consistent with the amount of the “Cash Severance Benefit” Mr. Davidson otherwise would be eligible to receive under the Company’s Key Executive Change in Control and Severance Plan, dated October 7, 2021 (the “2021 Severance Plan”), payable in installments on the terms set forth in the Separation Agreement, (ii) additional cash payments in the aggregate amount of $32,730.51, less applicable withholdings (which amount is consistent with the amount of the “In-Lieu of COBRA Benefit” Mr. Davidson otherwise would be eligible to receive under the 2021 Severance Plan), payable in installments on the terms set forth in the Separation Agreement, (iii) full vesting acceleration of 74,492 early exercised shares subject to the performance-based option granted to Mr. Davidson on November 15, 2019, (iv) continued eligibility to vest in (A) up to 163,607 shares subject to time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RSUs granted on March 5, 2025, and (B) up to 280,468 shares subject to performance-based RSUs granted on March 5, 2025, for which the performance-based condition but not the time-based condition was achieved as of the date on which Mr. Davidson’s employment effectively terminated, in each case, on the terms set forth in the Separation Agreement, and (v) an additional cash payment in the amount of $15,000, less applicable withholdings, for fees incurred in connection with his Separation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Dominique Bourgault</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Mr. Bourgault entered into an offer letter with Sonder on February 23, 2023 in connection with his appointment as the Company’s Chief Financial Officer, effective March 6, 2023. Mr. Bourgault’s offer letter provided for (i) an annual base salary of $495,000, (ii) an initial grant of options to purchase 137,051 shares of common stock, which was granted on March 16, 2023, vesting over four years (vesting 25% after a one-year cliff and monthly thereafter), subject to Mr. Bourgault’s continued service, (iii) participation in the 2021 Severance Plan, and (iv) eligibility to participate in Sonder’s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employee benefit plans. Mr. Bourgault resigned from the Company effective December 2, 2024. Following his resignation, all unvested options were cancelled and vested options are exercisable until the one-year anniversary of his resignation.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Martin Picard</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Legacy Sonder entered into an employment agreement with Mr. Picard, its Chief Real Estate Officer, which was effective on February 10, 2020. Mr. Picard’s offer letter provides for an annual base salary and eligibility to participate in Sonder’s employee benefit plans. Mr. Picard’s annual base salary was increased to $480,000 in March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Katherine E. Potter</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Ms. Potter entered into an offer letter with Sonder on August 21, 2023 in connection with her appointment as the Company’s General Counsel, effective September 11, 2023. Ms. Potter’s offer letter provides for (i) an annual base salary of $450,000, (ii) an initial grant of options to purchase 1,200,000 shares of common stock, which was granted on September 12, 2023, vesting over four years (vesting 25% after a one-year cliff and monthly thereafter), subject to Ms. Potter’s continued service, (iii) participation in the Company’s 2023 Key Executive Change in Control and Severance Plan, dated September 12, 2023 (the “2023 Severance Plan” and together with the 2021 Severance Plan, the “Severance Plans”), and (iv) eligibility to participate in Sonder’s employee benefit plans. Ms. Potter resigned from the Company effective November 22, 2024. Following her resignation, all unvested options were cancelled and vested options are exercisable until the one-year anniversary of her resignation.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Michael Hughes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Mr. Hughes entered into an offer letter with Sonder on January 14, 2025 in connection with his appointment as the Company’s Chief Financial Officer, effective January 22, 2025. Mr. Hughes’ offer letter provided for (i) an annual base salary of $495,000, (ii) eligibility for an annual cash bonus plan with a target amount equal to 75% of base salary, (iii) an initial grant of 1,211,000 RSUs (30% subject to service conditions and 70% subject to performance and service conditions), which have not been granted and will be subject to Mr. Hughes’ continued service, (iv) participation in the 2023 Severance Plan, and (v) eligibility to participate in Sonder’s employee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Janice Sears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Ms. Sears entered into an offer letter with Sonder in connection with her appointment as the Company’s Interim Chief Executive Officer, effective June 24, 2025. Ms. Sears’ offer letter provides that, subject to the terms of the offer letter, Ms. Sears will receive during the period she serves as Interim Chief Executive Officer (which is not expected to exceed six months) (the “Term”), base salary in an amount equal to $60,000 per month, less applicable withholdings. Additionally, Ms. Sears will be eligible to receive the following equity awards, each under and subject to the terms of the 2021 Equity Incentive Plan and an award agreement thereunder:</w:t>
      </w:r>
    </w:p>
    <w:p>
      <w:pPr>
        <w:spacing w:after="0" w:line="193" w:lineRule="exact"/>
        <w:rPr>
          <w:sz w:val="20"/>
          <w:szCs w:val="20"/>
          <w:color w:val="auto"/>
        </w:rPr>
      </w:pPr>
    </w:p>
    <w:p>
      <w:pPr>
        <w:jc w:val="both"/>
        <w:ind w:left="520" w:hanging="260"/>
        <w:spacing w:after="0" w:line="245" w:lineRule="auto"/>
        <w:tabs>
          <w:tab w:leader="none" w:pos="516"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4"/>
          <w:szCs w:val="14"/>
          <w:color w:val="auto"/>
        </w:rPr>
        <w:t>shortly following the commencement of the Term, an award of RSUs covering a number of shares of Sonder common stock having an approximate value of $175,000 (the “Sign-On RSUs”). The Sign-On RSUs will vest on the earlier of (A) the first anniversary of the date of grant, or (B) the date of the next annual meeting of Sonder’s stockholders following the date of grant, in each case, subject to Ms. Sears’s continued service to Sonder (or a subsidiary) through such date. The Sign-On RSUs will fully vest as of immediately prior to the consummation of a Change in Control (as defined in the 2021 Equity Incentive Plan), subject to Ms. Sears’s continued service to Sonder (or a subsidiary) through such date.</w:t>
      </w:r>
    </w:p>
    <w:p>
      <w:pPr>
        <w:spacing w:after="0" w:line="18" w:lineRule="exact"/>
        <w:rPr>
          <w:rFonts w:ascii="Arial" w:cs="Arial" w:eastAsia="Arial" w:hAnsi="Arial"/>
          <w:sz w:val="17"/>
          <w:szCs w:val="17"/>
          <w:color w:val="auto"/>
        </w:rPr>
      </w:pPr>
    </w:p>
    <w:p>
      <w:pPr>
        <w:jc w:val="both"/>
        <w:ind w:left="520" w:hanging="260"/>
        <w:spacing w:after="0" w:line="251" w:lineRule="auto"/>
        <w:tabs>
          <w:tab w:leader="none" w:pos="5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 award of RSUs covering a number of shares having a value approximately equal to the product of (A) $66,667, multiplied by (B) the number of months for which she serves as Interim Chief Executive Officer (with proportionate proration for the final month of service as Interim Chief Executive Officer) (the “New Hire RSUs”). The New Hire RSUs will vest on the first anniversary of the end of the Term, subject to Ms. Sears’s continued service to Sonder (or a subsidiary) through such date. This award is expected to be granted shortly following the end of the Term unless, during the Term, she is terminated for “cause” (as defined in the offer letter).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Term, Ms. Sears will not be eligible to receive compensation in respect of her service as a director of Sonder (including under Sonder’s Outside Director Compensation Policy) and she will not be eligible to participate in either of the Severance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Sonder Executive Officer Severance Plans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named executive officers participate in either our 2021 Severance Plan or our 2023 Severance Plan. The Severance Plans provide for the payment of specified severance pay and other benefits to eligible participants who incur qualifying terminations of employment and satisfy the terms and conditions of the Severance Plans.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2023 Severance Plan applies to eligible participants on or after May 1, 2023, including Ms. Potter and Mr. Hughes. The 2021 Severance Plan applies to eligible participants prior to May 1, 2023, including Messrs. Davidson, Bourgault, and Picard. The Severance Plans generally provide for a lump sum cash payment equal to an amount specified in the participant’s participation agreement, a lump sum cash payment in lieu of the continuation of healthcare coverage, and the acceleration of vesting for outstanding and unvested equity awards (collectively, the “Severance Benefits”). The Severance Benefits are subject to a qualifying termination of employment and an effective separation and release of claims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Employee Benefit Plans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named executive officers are entitled to participate in our equity incentive plans and are eligible to participate in our 401(k) plan on the same terms as all other employees. We do not maintain any supplemental health or welfare plans for our named executive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directors play a critical role in guiding our strategic direction and overseeing the management of Sonder. The many responsibilities and risks and the substantial time commitment of being a director require that we provide adequate compensation commensurate with our directors’ workload and opportunity costs.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Directors who are employees of the Company do not receive additional compensation for their service as directors. The Board has adopted a compensation policy that governs the cash and equity compensation for our non-employee directors, which was amended in September 2023, May 2024, and December 2024 (as amended from time to time, the “Outside Director Compensation Policy”). The Outside Director Compensation Policy was developed with input from independent compensation consultants regarding practices and compensation levels at comparable companies and is designed to attract, retain, and reward non-employee directors. Under the Outside Director Compensation Policy, each of our non-employee directors receives the cash and equity compensation for services described below. We also reimburse our non-employee directors for reasonable, customary, and documented travel expenses to Board or committee meetings.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Outside Director Compensation Policy provides for a maximum annual limit of $750,000 of aggregate compensation (cash retainers, fees, and equity awards) that may be paid, issued, or granted to a non-employee director in any fiscal year, and this limit is increased to $1,000,000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does not count towards such limitation. The maximum limit does not reflect the intended size of any potential compensation or equity awards to our non-employee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Outside Director Compensation Policy has been amended as follows:</w:t>
      </w:r>
    </w:p>
    <w:p>
      <w:pPr>
        <w:spacing w:after="0" w:line="23" w:lineRule="exact"/>
        <w:rPr>
          <w:sz w:val="20"/>
          <w:szCs w:val="20"/>
          <w:color w:val="auto"/>
        </w:rPr>
      </w:pPr>
    </w:p>
    <w:p>
      <w:pPr>
        <w:ind w:left="1020" w:hanging="25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September 2023 - reduced the grant date fair value of an initial award of RSUs (the “Initial Award”) from $320,000 to $160,000.</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2024 - increased the annual cash retainer payable to the Lead Independent Director from $15,000 to $35,000.</w:t>
      </w:r>
    </w:p>
    <w:p>
      <w:pPr>
        <w:spacing w:after="0" w:line="8" w:lineRule="exact"/>
        <w:rPr>
          <w:rFonts w:ascii="Times New Roman" w:cs="Times New Roman" w:eastAsia="Times New Roman" w:hAnsi="Times New Roman"/>
          <w:sz w:val="14"/>
          <w:szCs w:val="14"/>
          <w:color w:val="auto"/>
        </w:rPr>
      </w:pPr>
    </w:p>
    <w:p>
      <w:pPr>
        <w:jc w:val="both"/>
        <w:ind w:left="1020" w:hanging="251"/>
        <w:spacing w:after="0" w:line="257" w:lineRule="auto"/>
        <w:tabs>
          <w:tab w:leader="none" w:pos="10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December 2024 - (i) increased the annual cash retainer payable to each non-employee director from $35,000 to $65,000, (ii) removed the annual cash retainer payable to members of the committees, (iii) increased the annual cash retainer payable to the Board Chair (previously the Independent Lead Director) from $35,000 to $50,000, (iv) increased the annual cash retainer payable to the chair of each committee, (v) established the annual cash retainer payable to the Investment Committee Chair as $20,000, (vi) reduced the grant date fair value of the Annual Award (as described below) from $160,000 to $125,000, and (vii) removed the Initial Award.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non-employee directors are entitled to receive the following in cash compensation for their services under the Outside Director Compensation Policy:</w:t>
      </w:r>
    </w:p>
    <w:p>
      <w:pPr>
        <w:spacing w:after="0" w:line="200" w:lineRule="exact"/>
        <w:rPr>
          <w:sz w:val="20"/>
          <w:szCs w:val="20"/>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$65,000 per year for service as a board member;</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 per year for service as a board chair ($35,000 for service as the Independent Lead Director per year prior to December 31, 2024);</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 per year for service as chair of the Audit Committee;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per year for service as chair of the Compensation Committee ($12,000 per year prior to December 31, 2024);</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per year for service as chair of the Investment Committee;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per year for service as chair of the Nominating Committee ($8,000 per year prior to December 31, 2024); and</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 per year for each meeting to the extent the Board or any of its committees meets more than eight times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cash payments to non-employee directors are paid quarterly in arrears on a pro-rated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Award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Each non-employee director, other than the excluded directors and the Board Chair, automatically receives, on the date of each annual meeting of our stockholders, an annual award of restricted stock units (an “Annual Award”) covering a number of shares of our Common Stock having a grant date fair value (determined in accordance with GAAP) of $125,000; provided that the first Annual Award granted to an individual following his or her initial election to the Board as a non-employee director will have a grant date fair value equal to the product of (A) $125,000 multiplied by (B) a fraction, (i) the numerator of which is equal to the number of calendar months in which the non-employee director first became a non-employee director and ending with the calendar month in which the first annual meeting following such calendar month occurs, and (ii) the denominator of which is 12; and provided further that any resulting fraction will be rounded down to the nearest whole share. The Board Chair will be granted an Annual Award covering a number of shares of our Common Stock having a grant date fair value (determined in accordance with GAAP) of $175,000. Each Annual Award will be scheduled to vest in full on the earlier of (i) the one-year anniversary of the grant date, or (ii) the date of the next annual meeting of our stockholders following the grant date, in each case, subject to the non-employee director continuing to be a non-employee director through the applicable vesting date. A non-employee director that is not independent in accordance with the applicable rules of the Nasdaq and the SEC will be paid fifty percent of the equity compensation such non-employee director would otherwise receive.</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of a “change in control” (as defined in the 2021 Equity Incentive Plan), each non-employee director will fully vest in their outstanding company equity awards immediately prior to the consummation of the change in control, provided that the non-employee director continues to be a non-employee director through such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Director Compensation Table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lists actual compensation paid to each of our non-employee directors for the year ended December 31, 2024. Mr. Davidson, our former CEO, did not receive additional compensation for his service as a director. All compensation paid to Mr. Davidson is reported in the “Summary Compensation Table” appearing earlier in this Annual Report.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Due to the Affected Financial Statements, the Company’s Form S-8 was no longer effective and could not be relied upon for the issuance of equity. Therefore, our non-employee directors did not receive any equity awards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2240" w:type="dxa"/>
        <w:tblCellMar>
          <w:top w:w="0" w:type="dxa"/>
          <w:left w:w="0" w:type="dxa"/>
          <w:bottom w:w="0" w:type="dxa"/>
          <w:right w:w="0" w:type="dxa"/>
        </w:tblCellMar>
      </w:tblPr>
      <w:tr>
        <w:trPr>
          <w:trHeight w:val="221"/>
        </w:trPr>
        <w:tc>
          <w:tcPr>
            <w:tcW w:w="21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27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Fees Earned or Paid in Cash ($)</w:t>
            </w:r>
            <w:r>
              <w:rPr>
                <w:rFonts w:ascii="Times New Roman" w:cs="Times New Roman" w:eastAsia="Times New Roman" w:hAnsi="Times New Roman"/>
                <w:sz w:val="18"/>
                <w:szCs w:val="18"/>
                <w:color w:val="auto"/>
                <w:vertAlign w:val="superscript"/>
              </w:rPr>
              <w:t>(2)</w:t>
            </w: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60" w:type="dxa"/>
            <w:vAlign w:val="bottom"/>
            <w:tcBorders>
              <w:bottom w:val="single" w:sz="8" w:color="auto"/>
            </w:tcBorders>
          </w:tcPr>
          <w:p>
            <w:pPr>
              <w:spacing w:after="0"/>
              <w:rPr>
                <w:sz w:val="19"/>
                <w:szCs w:val="19"/>
                <w:color w:val="auto"/>
              </w:rPr>
            </w:pPr>
          </w:p>
        </w:tc>
      </w:tr>
      <w:tr>
        <w:trPr>
          <w:trHeight w:val="21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Nabeel Hyatt</w:t>
            </w:r>
            <w:r>
              <w:rPr>
                <w:rFonts w:ascii="Times New Roman" w:cs="Times New Roman" w:eastAsia="Times New Roman" w:hAnsi="Times New Roman"/>
                <w:sz w:val="18"/>
                <w:szCs w:val="18"/>
                <w:color w:val="auto"/>
                <w:vertAlign w:val="superscript"/>
              </w:rPr>
              <w:t>(3)</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Frits Dirk van Paasschen</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48,738</w:t>
            </w: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48,738</w:t>
            </w:r>
          </w:p>
        </w:tc>
      </w:tr>
      <w:tr>
        <w:trPr>
          <w:trHeight w:val="32"/>
        </w:trPr>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Janice Sears</w:t>
            </w:r>
          </w:p>
        </w:tc>
        <w:tc>
          <w:tcPr>
            <w:tcW w:w="14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82,230</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82,230</w:t>
            </w: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Michelle Frymire</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73,765</w:t>
            </w: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73,765</w:t>
            </w:r>
          </w:p>
        </w:tc>
      </w:tr>
      <w:tr>
        <w:trPr>
          <w:trHeight w:val="32"/>
        </w:trPr>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Prashant (Sean) Aggarwal</w:t>
            </w:r>
          </w:p>
        </w:tc>
        <w:tc>
          <w:tcPr>
            <w:tcW w:w="14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51,230</w:t>
            </w:r>
          </w:p>
        </w:tc>
        <w:tc>
          <w:tcPr>
            <w:tcW w:w="1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51,230</w:t>
            </w: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Sanjay Banker</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35,000</w:t>
            </w: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32"/>
        </w:trPr>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Simon Turner</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45,131</w:t>
            </w:r>
          </w:p>
        </w:tc>
        <w:tc>
          <w:tcPr>
            <w:tcW w:w="1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r>
      <w:tr>
        <w:trPr>
          <w:trHeight w:val="32"/>
        </w:trPr>
        <w:tc>
          <w:tcPr>
            <w:tcW w:w="2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(1)</w:t>
        <w:tab/>
        <w:t>Each non-employee director had the following number of options and/or RSUs outstanding as of December 31, 2024:</w:t>
      </w:r>
    </w:p>
    <w:p>
      <w:pPr>
        <w:spacing w:after="0" w:line="44" w:lineRule="exact"/>
        <w:rPr>
          <w:sz w:val="20"/>
          <w:szCs w:val="20"/>
          <w:color w:val="auto"/>
        </w:rPr>
      </w:pPr>
    </w:p>
    <w:tbl>
      <w:tblPr>
        <w:tblLayout w:type="fixed"/>
        <w:tblInd w:w="1400" w:type="dxa"/>
        <w:tblCellMar>
          <w:top w:w="0" w:type="dxa"/>
          <w:left w:w="0" w:type="dxa"/>
          <w:bottom w:w="0" w:type="dxa"/>
          <w:right w:w="0" w:type="dxa"/>
        </w:tblCellMar>
      </w:tblPr>
      <w:tr>
        <w:trPr>
          <w:trHeight w:val="218"/>
        </w:trPr>
        <w:tc>
          <w:tcPr>
            <w:tcW w:w="19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RSUs (#)</w:t>
            </w:r>
          </w:p>
        </w:tc>
      </w:tr>
      <w:tr>
        <w:trPr>
          <w:trHeight w:val="194"/>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Nabeel Hyatt</w:t>
            </w:r>
          </w:p>
        </w:tc>
        <w:tc>
          <w:tcPr>
            <w:tcW w:w="15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Frits Dirk van Paasschen</w:t>
            </w:r>
          </w:p>
        </w:tc>
        <w:tc>
          <w:tcPr>
            <w:tcW w:w="1540" w:type="dxa"/>
            <w:vAlign w:val="bottom"/>
          </w:tcPr>
          <w:p>
            <w:pPr>
              <w:spacing w:after="0"/>
              <w:rPr>
                <w:sz w:val="16"/>
                <w:szCs w:val="16"/>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10,424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12,517</w:t>
            </w:r>
          </w:p>
        </w:tc>
      </w:tr>
      <w:tr>
        <w:trPr>
          <w:trHeight w:val="32"/>
        </w:trPr>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Janice Sears</w:t>
            </w:r>
          </w:p>
        </w:tc>
        <w:tc>
          <w:tcPr>
            <w:tcW w:w="1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13,104</w:t>
            </w:r>
          </w:p>
        </w:tc>
      </w:tr>
      <w:tr>
        <w:trPr>
          <w:trHeight w:val="191"/>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Michelle Frymire</w:t>
            </w:r>
          </w:p>
        </w:tc>
        <w:tc>
          <w:tcPr>
            <w:tcW w:w="1540" w:type="dxa"/>
            <w:vAlign w:val="bottom"/>
          </w:tcPr>
          <w:p>
            <w:pPr>
              <w:spacing w:after="0"/>
              <w:rPr>
                <w:sz w:val="16"/>
                <w:szCs w:val="16"/>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15,193</w:t>
            </w:r>
          </w:p>
        </w:tc>
      </w:tr>
      <w:tr>
        <w:trPr>
          <w:trHeight w:val="32"/>
        </w:trPr>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Prashant (Sean) Aggarwal</w:t>
            </w:r>
          </w:p>
        </w:tc>
        <w:tc>
          <w:tcPr>
            <w:tcW w:w="1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15,031</w:t>
            </w:r>
          </w:p>
        </w:tc>
      </w:tr>
      <w:tr>
        <w:trPr>
          <w:trHeight w:val="191"/>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Sanjay Banker</w:t>
            </w:r>
          </w:p>
        </w:tc>
        <w:tc>
          <w:tcPr>
            <w:tcW w:w="1540" w:type="dxa"/>
            <w:vAlign w:val="bottom"/>
          </w:tcPr>
          <w:p>
            <w:pPr>
              <w:spacing w:after="0"/>
              <w:rPr>
                <w:sz w:val="16"/>
                <w:szCs w:val="16"/>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r>
      <w:tr>
        <w:trPr>
          <w:trHeight w:val="32"/>
        </w:trPr>
        <w:tc>
          <w:tcPr>
            <w:tcW w:w="1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1"/>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Simon Turner</w:t>
            </w:r>
          </w:p>
        </w:tc>
        <w:tc>
          <w:tcPr>
            <w:tcW w:w="1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26,622</w:t>
            </w:r>
          </w:p>
        </w:tc>
      </w:tr>
      <w:tr>
        <w:trPr>
          <w:trHeight w:val="32"/>
        </w:trPr>
        <w:tc>
          <w:tcPr>
            <w:tcW w:w="1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ind w:left="240" w:hanging="235"/>
        <w:spacing w:after="0"/>
        <w:tabs>
          <w:tab w:leader="none" w:pos="24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annual retainer, committee and chair fees and the lead independent director fee paid to our non-employee directors under the Outside Director Compensation Policy. Director fees are generally paid quarterly in arrears.</w:t>
      </w:r>
    </w:p>
    <w:p>
      <w:pPr>
        <w:spacing w:after="0" w:line="20"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31, 2024, Mr. Hyatt resigned from his position as a member of the Board, effective as of the same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Security Ownership of Certain Beneficial Owners and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certain information known to us regarding beneficial ownership of our voting securities as of July 7, 2025 by:</w:t>
      </w:r>
    </w:p>
    <w:p>
      <w:pPr>
        <w:spacing w:after="0" w:line="200" w:lineRule="exact"/>
        <w:rPr>
          <w:sz w:val="20"/>
          <w:szCs w:val="20"/>
          <w:color w:val="auto"/>
        </w:rPr>
      </w:pPr>
    </w:p>
    <w:p>
      <w:pPr>
        <w:ind w:left="600" w:hanging="8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 the beneficial owner of more than 5% of any class of our voting securities;</w:t>
      </w:r>
    </w:p>
    <w:p>
      <w:pPr>
        <w:spacing w:after="0" w:line="2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 and</w:t>
      </w:r>
    </w:p>
    <w:p>
      <w:pPr>
        <w:spacing w:after="0" w:line="8"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current executive officers and directors as a group.</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they possess the sole or shared voting or investment power over that security, including options and warrants that are currently exercisable or exercisable within 60 days of July 7, 2025.</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Percentage ownership of our voting securities is based on 13,308,481 shares of our common stock issued and outstanding and 60,113,000 shares of Series A Preferred Stock issued and outstanding, convertible into 24,872,000 shares of common stock (based on a conversion of $1.00, excluding accrued and unpaid dividends) issued and outstanding (after taking into account applicable beneficial ownership limitations as described above), assumes that none of the up to 725,000 shares of common stock in potential Earn Out Shares (as defined below) will be earned within 60 days of July 7, 2025 and are therefore excluded, and is adjusted for the Reverse Stock Split. In connection with the Business Combination, holders of Legacy Sonder’s common stock and certain other securityholders are entitled to receive their pro rata share of up to an aggregate of 725,000 additional shares of our common stock (after adjusting for the Reverse Stock Split, referred to as the “Earn Out Shares”) as consideration, if our common stock achieves certain benchmark share prices (each achievement of such a benchmark being referred to as a “Triggering Event”) as contemplated by the Agreement and Plan of Merger for the Business Combination. If no Triggering Event occurs prior to July 17, 2027, no Earn Out Shares will be issued.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otherwise indicated, we believe that all persons named in the table below have sole voting and investment power with respect to all of the securities beneficially owned by them. To our knowledge, no shares beneficially owned by any executive officer or director have been pledged as security, other than certain shares of Sonder Canada Inc. (which 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exchangeable into shares of common stock) held by Mr. Davidson, our former CEO, that are pledged to the Canada Revenue Agency as a security for payment of tax obligations. Unless otherwise indicated, the mailing address of each of person below is c/o Sonder Holdings Inc., 447 Sutter Street Suite 405 #542, San Francisco, CA 94108.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Stockholders</w:t>
            </w:r>
          </w:p>
        </w:tc>
        <w:tc>
          <w:tcPr>
            <w:tcW w:w="1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8"/>
        </w:trPr>
        <w:tc>
          <w:tcPr>
            <w:tcW w:w="1280" w:type="dxa"/>
            <w:vAlign w:val="bottom"/>
            <w:tcBorders>
              <w:top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0"/>
        </w:trPr>
        <w:tc>
          <w:tcPr>
            <w:tcW w:w="1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Series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Voting</w:t>
            </w:r>
          </w:p>
        </w:tc>
      </w:tr>
      <w:tr>
        <w:trPr>
          <w:trHeight w:val="19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of Common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w:t>
            </w:r>
          </w:p>
        </w:tc>
      </w:tr>
      <w:tr>
        <w:trPr>
          <w:trHeight w:val="22"/>
        </w:trPr>
        <w:tc>
          <w:tcPr>
            <w:tcW w:w="438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9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Polar Asset Management Partners Inc.</w:t>
            </w:r>
            <w:r>
              <w:rPr>
                <w:rFonts w:ascii="Times New Roman" w:cs="Times New Roman" w:eastAsia="Times New Roman" w:hAnsi="Times New Roman"/>
                <w:sz w:val="18"/>
                <w:szCs w:val="18"/>
                <w:color w:val="auto"/>
                <w:vertAlign w:val="superscript"/>
              </w:rPr>
              <w:t>(1)</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500,000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7,000,000</w:t>
            </w:r>
          </w:p>
        </w:tc>
        <w:tc>
          <w:tcPr>
            <w:tcW w:w="128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11.6%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Francis Davidson</w:t>
            </w:r>
            <w:r>
              <w:rPr>
                <w:rFonts w:ascii="Times New Roman" w:cs="Times New Roman" w:eastAsia="Times New Roman" w:hAnsi="Times New Roman"/>
                <w:sz w:val="18"/>
                <w:szCs w:val="18"/>
                <w:color w:val="auto"/>
                <w:vertAlign w:val="superscript"/>
              </w:rPr>
              <w:t>(2)</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761,147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2,095,000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iNovia Growth Capital Inc.</w:t>
            </w:r>
            <w:r>
              <w:rPr>
                <w:rFonts w:ascii="Times New Roman" w:cs="Times New Roman" w:eastAsia="Times New Roman" w:hAnsi="Times New Roman"/>
                <w:sz w:val="18"/>
                <w:szCs w:val="18"/>
                <w:color w:val="auto"/>
                <w:vertAlign w:val="superscript"/>
              </w:rPr>
              <w:t>(3)</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411,836</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Atreides Foundation Master Fund LP</w:t>
            </w:r>
            <w:r>
              <w:rPr>
                <w:rFonts w:ascii="Times New Roman" w:cs="Times New Roman" w:eastAsia="Times New Roman" w:hAnsi="Times New Roman"/>
                <w:sz w:val="18"/>
                <w:szCs w:val="18"/>
                <w:color w:val="auto"/>
                <w:vertAlign w:val="superscript"/>
              </w:rPr>
              <w:t>(4)</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926,202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19,000,000</w:t>
            </w:r>
          </w:p>
        </w:tc>
        <w:tc>
          <w:tcPr>
            <w:tcW w:w="128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99"/>
              </w:rPr>
              <w:t>31.6%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Entities affiliated with Prashant Gupta</w:t>
            </w:r>
            <w:r>
              <w:rPr>
                <w:rFonts w:ascii="Times New Roman" w:cs="Times New Roman" w:eastAsia="Times New Roman" w:hAnsi="Times New Roman"/>
                <w:sz w:val="18"/>
                <w:szCs w:val="18"/>
                <w:color w:val="auto"/>
                <w:vertAlign w:val="superscript"/>
              </w:rPr>
              <w:t>(5)</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450,000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7,000,000</w:t>
            </w:r>
          </w:p>
        </w:tc>
        <w:tc>
          <w:tcPr>
            <w:tcW w:w="128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11.6%</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Entities affiliated with BlackRock Inc.</w:t>
            </w:r>
            <w:r>
              <w:rPr>
                <w:rFonts w:ascii="Times New Roman" w:cs="Times New Roman" w:eastAsia="Times New Roman" w:hAnsi="Times New Roman"/>
                <w:sz w:val="18"/>
                <w:szCs w:val="18"/>
                <w:color w:val="auto"/>
                <w:vertAlign w:val="superscript"/>
              </w:rPr>
              <w:t>(6)</w:t>
            </w:r>
          </w:p>
        </w:tc>
        <w:tc>
          <w:tcPr>
            <w:tcW w:w="198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738,692</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Directors and named executive officers</w:t>
            </w:r>
          </w:p>
        </w:tc>
        <w:tc>
          <w:tcPr>
            <w:tcW w:w="1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2"/>
        </w:trPr>
        <w:tc>
          <w:tcPr>
            <w:tcW w:w="438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Janice Sears</w:t>
            </w:r>
            <w:r>
              <w:rPr>
                <w:rFonts w:ascii="Times New Roman" w:cs="Times New Roman" w:eastAsia="Times New Roman" w:hAnsi="Times New Roman"/>
                <w:sz w:val="18"/>
                <w:szCs w:val="18"/>
                <w:color w:val="auto"/>
                <w:vertAlign w:val="superscript"/>
              </w:rPr>
              <w:t>(7)</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18,650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Francis Davidson</w:t>
            </w:r>
            <w:r>
              <w:rPr>
                <w:rFonts w:ascii="Times New Roman" w:cs="Times New Roman" w:eastAsia="Times New Roman" w:hAnsi="Times New Roman"/>
                <w:sz w:val="18"/>
                <w:szCs w:val="18"/>
                <w:color w:val="auto"/>
                <w:vertAlign w:val="superscript"/>
              </w:rPr>
              <w:t>(2)</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761,147</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2,095,000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Martin Picard</w:t>
            </w:r>
            <w:r>
              <w:rPr>
                <w:rFonts w:ascii="Times New Roman" w:cs="Times New Roman" w:eastAsia="Times New Roman" w:hAnsi="Times New Roman"/>
                <w:sz w:val="18"/>
                <w:szCs w:val="18"/>
                <w:color w:val="auto"/>
                <w:vertAlign w:val="superscript"/>
              </w:rPr>
              <w:t>(8)</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221,631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Hughes</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38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Dominique Bourgault</w:t>
            </w:r>
            <w:r>
              <w:rPr>
                <w:rFonts w:ascii="Times New Roman" w:cs="Times New Roman" w:eastAsia="Times New Roman" w:hAnsi="Times New Roman"/>
                <w:sz w:val="18"/>
                <w:szCs w:val="18"/>
                <w:color w:val="auto"/>
                <w:vertAlign w:val="superscript"/>
              </w:rPr>
              <w:t>(9)</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64,055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Katherine E. Potter</w:t>
            </w:r>
            <w:r>
              <w:rPr>
                <w:rFonts w:ascii="Times New Roman" w:cs="Times New Roman" w:eastAsia="Times New Roman" w:hAnsi="Times New Roman"/>
                <w:sz w:val="18"/>
                <w:szCs w:val="18"/>
                <w:color w:val="auto"/>
                <w:vertAlign w:val="superscript"/>
              </w:rPr>
              <w:t>(10)</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w w:val="98"/>
              </w:rPr>
              <w:t>17,500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Prashant (Sean) Aggarwal</w:t>
            </w:r>
            <w:r>
              <w:rPr>
                <w:rFonts w:ascii="Times New Roman" w:cs="Times New Roman" w:eastAsia="Times New Roman" w:hAnsi="Times New Roman"/>
                <w:sz w:val="18"/>
                <w:szCs w:val="18"/>
                <w:color w:val="auto"/>
                <w:vertAlign w:val="superscript"/>
              </w:rPr>
              <w:t>(11)</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15,032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Sanjay Banker</w:t>
            </w:r>
            <w:r>
              <w:rPr>
                <w:rFonts w:ascii="Times New Roman" w:cs="Times New Roman" w:eastAsia="Times New Roman" w:hAnsi="Times New Roman"/>
                <w:sz w:val="18"/>
                <w:szCs w:val="18"/>
                <w:color w:val="auto"/>
                <w:vertAlign w:val="superscript"/>
              </w:rPr>
              <w:t>(12)</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rPr>
              <w:t>196,923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Frits Dirk van Paasschen</w:t>
            </w:r>
            <w:r>
              <w:rPr>
                <w:rFonts w:ascii="Times New Roman" w:cs="Times New Roman" w:eastAsia="Times New Roman" w:hAnsi="Times New Roman"/>
                <w:sz w:val="18"/>
                <w:szCs w:val="18"/>
                <w:color w:val="auto"/>
                <w:vertAlign w:val="superscript"/>
              </w:rPr>
              <w:t>(13)</w:t>
            </w:r>
          </w:p>
        </w:tc>
        <w:tc>
          <w:tcPr>
            <w:tcW w:w="1980" w:type="dxa"/>
            <w:vAlign w:val="bottom"/>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w w:val="98"/>
              </w:rPr>
              <w:t>30,809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Michelle Frymire</w:t>
            </w:r>
            <w:r>
              <w:rPr>
                <w:rFonts w:ascii="Times New Roman" w:cs="Times New Roman" w:eastAsia="Times New Roman" w:hAnsi="Times New Roman"/>
                <w:sz w:val="18"/>
                <w:szCs w:val="18"/>
                <w:color w:val="auto"/>
                <w:vertAlign w:val="superscript"/>
              </w:rPr>
              <w:t>(14)</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w w:val="98"/>
              </w:rPr>
              <w:t>15,192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Simon Turner</w:t>
            </w:r>
            <w:r>
              <w:rPr>
                <w:rFonts w:ascii="Times New Roman" w:cs="Times New Roman" w:eastAsia="Times New Roman" w:hAnsi="Times New Roman"/>
                <w:sz w:val="18"/>
                <w:szCs w:val="18"/>
                <w:color w:val="auto"/>
                <w:vertAlign w:val="superscript"/>
              </w:rPr>
              <w:t>(15)</w:t>
            </w:r>
          </w:p>
        </w:tc>
        <w:tc>
          <w:tcPr>
            <w:tcW w:w="1980" w:type="dxa"/>
            <w:vAlign w:val="bottom"/>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rPr>
              <w:t>8,874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Erin Wallace</w:t>
            </w:r>
          </w:p>
        </w:tc>
        <w:tc>
          <w:tcPr>
            <w:tcW w:w="1980" w:type="dxa"/>
            <w:vAlign w:val="bottom"/>
          </w:tcPr>
          <w:p>
            <w:pPr>
              <w:jc w:val="center"/>
              <w:ind w:left="609"/>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38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4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All directors and executive officers as a group (11 persons)</w:t>
            </w:r>
            <w:r>
              <w:rPr>
                <w:rFonts w:ascii="Times New Roman" w:cs="Times New Roman" w:eastAsia="Times New Roman" w:hAnsi="Times New Roman"/>
                <w:sz w:val="18"/>
                <w:szCs w:val="18"/>
                <w:b w:val="1"/>
                <w:bCs w:val="1"/>
                <w:i w:val="1"/>
                <w:iCs w:val="1"/>
                <w:color w:val="auto"/>
                <w:vertAlign w:val="superscript"/>
              </w:rPr>
              <w:t>(16)</w:t>
            </w:r>
          </w:p>
        </w:tc>
        <w:tc>
          <w:tcPr>
            <w:tcW w:w="1980" w:type="dxa"/>
            <w:vAlign w:val="bottom"/>
            <w:tcBorders>
              <w:bottom w:val="single" w:sz="8" w:color="auto"/>
            </w:tcBorders>
            <w:shd w:val="clear" w:color="auto" w:fill="CCEEFF"/>
          </w:tcPr>
          <w:p>
            <w:pPr>
              <w:jc w:val="center"/>
              <w:ind w:left="609"/>
              <w:spacing w:after="0"/>
              <w:rPr>
                <w:sz w:val="20"/>
                <w:szCs w:val="20"/>
                <w:color w:val="auto"/>
              </w:rPr>
            </w:pPr>
            <w:r>
              <w:rPr>
                <w:rFonts w:ascii="Times New Roman" w:cs="Times New Roman" w:eastAsia="Times New Roman" w:hAnsi="Times New Roman"/>
                <w:sz w:val="14"/>
                <w:szCs w:val="14"/>
                <w:color w:val="auto"/>
              </w:rPr>
              <w:t>1,586,169</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11.9%</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2,195,000</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Represents less than 1% of our outstanding common stock, Series A Preferred Stock, or total voting power.</w:t>
      </w:r>
    </w:p>
    <w:p>
      <w:pPr>
        <w:spacing w:after="0" w:line="13" w:lineRule="exact"/>
        <w:rPr>
          <w:sz w:val="20"/>
          <w:szCs w:val="20"/>
          <w:color w:val="auto"/>
        </w:rPr>
      </w:pPr>
    </w:p>
    <w:p>
      <w:pPr>
        <w:ind w:left="260" w:hanging="255"/>
        <w:spacing w:after="0" w:line="241" w:lineRule="auto"/>
        <w:tabs>
          <w:tab w:leader="none" w:pos="252"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500,000 shares of common stock, and (b) 7,000,000 shares of Series A Preferred Stock held by Polar Asset Management Partners Inc., who disclaims any beneficial ownership of the reported shares other than to the extent of any pecuniary interest therein. The business address of Polar Asset Management Partners Inc. is 16 York Street, Suite 2900, Toronto, ON, Canada M5J 0E6.</w:t>
      </w:r>
    </w:p>
    <w:p>
      <w:pPr>
        <w:jc w:val="both"/>
        <w:ind w:left="260" w:hanging="255"/>
        <w:spacing w:after="0" w:line="241" w:lineRule="auto"/>
        <w:tabs>
          <w:tab w:leader="none" w:pos="27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574,079 shares of common stock held directly by Mr. Davidson, of which 74,942 shares are subject to a Company repurchase right that will terminate unless the Company achieves a stock price of $105.40 by November 15, 2026, (b) 371,069 shares of special voting common stock, (c) 670,198 shares of common stock subject to outstanding options which are exercisable within 60 days of July 7, 2025, (d) 116,870 shares of restricted stock units (“RSUs”) subject to vest within 60 days of July 7, 2025, and (e) 2,095,000 shares of Series A Preferred Stock held by Mr. Davidson. Mr. Davidson resigned from the Company on June 24, 2025.</w:t>
      </w:r>
    </w:p>
    <w:p>
      <w:pPr>
        <w:jc w:val="both"/>
        <w:ind w:left="260" w:hanging="255"/>
        <w:spacing w:after="0" w:line="241" w:lineRule="auto"/>
        <w:tabs>
          <w:tab w:leader="none" w:pos="27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306,897 shares of common stock, of which (i) 152,964 shares are owned directly by iNovia Growth Fund, L.P., (ii) 17,534 shares are owned directly by iNovia Growth Fund-A, L.P., (iii) 136,399 shares are owned directly by iNovia Growth SPV - Quebec, L.P., and (iv) 104,939 shares of common stock issuable upon the exchange of exchangeable shares of Sonder Canada Inc., a subsidiary of the Company, corresponding to 104,939 shares of special voting common stock, of which 95,835 shares are owned directly by iNovia Growth Fund, L.P. and 9,104 shares are owned directly by iNovia Growth Fund-A, L.P., (b) 5,000,000 shares of Series A Preferred Stock, of which 4,489,785 shares of Series A Preferred Stock are owned directly by iNovia Growth Fund, L.P. and 510,215 shares of Series A Preferred Stock are owned directly by iNovia Growth Fund-A, L.P., which are subject to a 9.9% beneficial ownership limitation, and (c) excludes 29,508 shares of common stock to be issued upon the achievement of certain share price targets, of which 17,826 shares, 1,909 shares and 9,773 shares will be issued to iNovia Growth Fund, L.P., iNovia Growth Fund-A, L.P. and iNovia Growth SPV - Quebec, L.P., respectively. iNovia Growth Capital Inc. is the general partner of each of iNovia Growth Fund, L.P., iNovia Growth Fund-A, L.P. and iNovia Growth SPV - Quebec, L.P., and may be deemed to share beneficial ownership of the shares of common stock of which each of iNovia Growth Fund, L.P., iNovia Growth Fund-A, L.P. and iNovia Growth SPV - Quebec, L.P. is the record owner. iNovia Growth Capital Inc. is the general partner of each of iNovia Growth Fund, L.P., iNovia Growth Fund-A, L.P. and iNovia Growth SPV - Quebec, L.P. In such capacities, iNovia Growth Capital Inc. may be deemed to beneficially own the securities owned directly by iNovia Growth Fund, L.P., iNovia Growth Fund-A, L.P. and iNovia Growth SPV - Quebec, L.P., but disclaims beneficial ownership of the securities reported herein except to the extent of its pecuniary interest therein. The address of the principal business office of iNovia Growth Capital Inc. is 3 Place Ville-Marie, Suite, 12350, Montreal, Quebec, Canada 1H3B 0E7.</w:t>
      </w:r>
    </w:p>
    <w:p>
      <w:pPr>
        <w:spacing w:after="0" w:line="3" w:lineRule="exact"/>
        <w:rPr>
          <w:rFonts w:ascii="Times New Roman" w:cs="Times New Roman" w:eastAsia="Times New Roman" w:hAnsi="Times New Roman"/>
          <w:sz w:val="11"/>
          <w:szCs w:val="11"/>
          <w:color w:val="auto"/>
        </w:rPr>
      </w:pPr>
    </w:p>
    <w:p>
      <w:pPr>
        <w:ind w:left="260" w:hanging="255"/>
        <w:spacing w:after="0" w:line="238" w:lineRule="auto"/>
        <w:tabs>
          <w:tab w:leader="none" w:pos="303"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926,202 shares of common stock, and (b) 19,000,000 shares of Series A Preferred Stock held by Atreides Foundation Master Fund LP (“Atreides”), which are subject to a 9.9% beneficial ownership limitation. Atreides Foundation Fund GP, LLC (as the General Partner of Atreides) and Gavin Baker (as the investment manager for Atreides) each had shared voting power and dispositive power with regards to such shares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1"/>
          <w:szCs w:val="11"/>
          <w:color w:val="auto"/>
        </w:rPr>
        <w:t>and may be deemed to beneficially own the securities owned directly by Atreides. The business address of each of the person and entities identified in this footnote is c/o Atreides Management, LP, One International Place, Suite 4410, Boston, MA 02110.</w:t>
      </w:r>
    </w:p>
    <w:p>
      <w:pPr>
        <w:spacing w:after="0" w:line="1" w:lineRule="exact"/>
        <w:rPr>
          <w:sz w:val="20"/>
          <w:szCs w:val="20"/>
          <w:color w:val="auto"/>
        </w:rPr>
      </w:pPr>
    </w:p>
    <w:p>
      <w:pPr>
        <w:jc w:val="both"/>
        <w:ind w:left="260" w:hanging="255"/>
        <w:spacing w:after="0" w:line="241" w:lineRule="auto"/>
        <w:tabs>
          <w:tab w:leader="none" w:pos="253"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3,000,000 shares of Series A Preferred Stock held directly by NEEM 2020 Trust, and (b) 4,000,000 shares of Series A Preferred Stock held directly by RAASHI 2021 GST Trust, which are subject to a 4.9% beneficial ownership limitation. Prashant Gupta is the trustee of each entity and disclaims beneficial ownership of the shares held by each entity except to the extent of any pecuniary interest therein. The address for each of the persons and entities identified in this footnote is 26 Meadowview Drive Northfield, IL 60093.</w:t>
      </w:r>
    </w:p>
    <w:p>
      <w:pPr>
        <w:jc w:val="both"/>
        <w:ind w:left="260" w:hanging="255"/>
        <w:spacing w:after="0" w:line="239" w:lineRule="auto"/>
        <w:tabs>
          <w:tab w:leader="none" w:pos="261"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461,050 shares of common stock, and (b) 277,642 shares of common stock upon exercise of certain warrant held by entities affiliated with BlackRock, Inc. The registered holders of the referenced shares to be registered are the following funds and accounts under management by subsidiaries of BlackRock, Inc.: BlackRock ESG Capital Allocation Term Trust; BlackRock Global Allocation Fund (Aust); BlackRock Capital Allocation Term Trust; BlackRock Global Allocation Fund, Inc.; BlackRock Global Long/Short Credit Fund of BlackRock Funds IV; BlackRock Strategic Income Opportunities Portfolio of BlackRock Funds V; BlackRock Strategic Global Bond Fund, Inc.; BlackRock Global Allocation Collective Fund; Strategic Income Opportunities Bond Fund; BlackRock Total Return Bond Fund; BlackRock Global Allocation Portfolio of BlackRock Series Fund, Inc.; BlackRock Global Allocation V.I. Fund of BlackRock Variable Series Funds, Inc.; Brighthouse Funds Trust II - BlackRock Bond Income Portfolio; BlackRock Total Return Fund of BlackRock Bond Fund, Inc.; LVIP BLACKROCK GLOBAL ALLOCATION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Yards, New York, NY 10001. Shares shown include only the securities being registered for resale and may not incorporate all shares deemed to be beneficially held by the registered holders or BlackRock, Inc.</w:t>
      </w:r>
    </w:p>
    <w:p>
      <w:pPr>
        <w:spacing w:after="0" w:line="1"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18,650 shares of common stock held beneficially by Ms. Sears.</w:t>
      </w:r>
    </w:p>
    <w:p>
      <w:pPr>
        <w:ind w:left="260" w:hanging="255"/>
        <w:spacing w:after="0" w:line="241" w:lineRule="auto"/>
        <w:tabs>
          <w:tab w:leader="none" w:pos="298"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2,570 shares of common stock held beneficially by Mr. Picard, (b) 121,184 shares of common stock subject to outstanding options which are exercisable within 60 days of July 7, 2025, and (c) 97,877 shares of common stock subject to outstanding RSUs which will vest within 60 days of July 7, 2025.</w:t>
      </w:r>
    </w:p>
    <w:p>
      <w:pPr>
        <w:ind w:left="260" w:hanging="255"/>
        <w:spacing w:after="0" w:line="241" w:lineRule="auto"/>
        <w:tabs>
          <w:tab w:leader="none" w:pos="273"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5,000 shares of common stock held beneficially by Mr. Bourgault and (b) 59,055 shares of common stock subject to outstanding options which are exercisable within 60 days of July 7, 2025. Mr. Bourgault resigned from the Company effective December 2, 2024.</w:t>
      </w:r>
    </w:p>
    <w:p>
      <w:pPr>
        <w:ind w:left="300" w:hanging="295"/>
        <w:spacing w:after="0"/>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17,500 shares of common stock subject to outstanding options which are exercisable within 60 days of July 7, 2025. Ms. Potter resigned from the Company effective November 22, 2024.</w:t>
      </w:r>
    </w:p>
    <w:p>
      <w:pPr>
        <w:ind w:left="300" w:hanging="295"/>
        <w:spacing w:after="0"/>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15,032 shares of common stock held beneficially by Mr. Aggarwal.</w:t>
      </w:r>
    </w:p>
    <w:p>
      <w:pPr>
        <w:ind w:left="260" w:hanging="255"/>
        <w:spacing w:after="0" w:line="241" w:lineRule="auto"/>
        <w:tabs>
          <w:tab w:leader="none" w:pos="331"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14,657 shares of common stock held beneficially by Mr. Banker, (b) 182,266 shares of common stock subject to outstanding options which are exercisable within 60 days of July 7, 2025, and (c) 100,000 shares of Series A Preferred Stock.</w:t>
      </w:r>
    </w:p>
    <w:p>
      <w:pPr>
        <w:ind w:left="300" w:hanging="295"/>
        <w:spacing w:after="0"/>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(a) 20,385 shares of common stock held beneficially by Mr. van Paasschen, and (b) 10,424 shares of common stock subject to outstanding options which are exercisable within 60 days of July 7, 2025.</w:t>
      </w:r>
    </w:p>
    <w:p>
      <w:pPr>
        <w:ind w:left="300" w:hanging="295"/>
        <w:spacing w:after="0" w:line="221" w:lineRule="auto"/>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15,192 shares of common stock held beneficially by Ms. Frymire.</w:t>
      </w:r>
    </w:p>
    <w:p>
      <w:pPr>
        <w:ind w:left="300" w:hanging="295"/>
        <w:spacing w:after="0"/>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8,874 shares of common stock held beneficially by Mr. Turner.</w:t>
      </w:r>
    </w:p>
    <w:p>
      <w:pPr>
        <w:ind w:left="300" w:hanging="295"/>
        <w:spacing w:after="0"/>
        <w:tabs>
          <w:tab w:leader="none" w:pos="30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Shares beneficially owned by all of our current directors and executive officers as a group include the shares described in footnotes 7, 8, and 11 through 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connection with the Business Combination, our stockholders approved the Management Equity Incentive Plan, the 2021 Equity Incentive Plan, and the 2021 Employee Stock Purchase Plan. We also assumed all outstanding awards under the Legacy Sonder 2019 Equity Incentive Plan (as amended from time to time) (the “Legacy 2019 Equity Incentive Plan”) and the Legacy Sonder Stock Option Plan dated February 25, 2015 (as amended and restated from time to time) (the “Legacy Stock Option Plan”), each of which had been previously approved by the stockholders of Legacy Sonder. Additionally, in January 2023, the Board adopted the 2023 Inducement Equity Incentive Plan, which was amended in August 2023 (the “2023 Inducement Plan”), to provide for inducement grants to new hires or re-hires as material inducements to their acceptance of employment with the Company which grants are intended to comply the exemption provided by Nasdaq Listing Rule 5635(c)(4).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equity compensation plan information as of December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00" w:type="dxa"/>
            <w:vAlign w:val="bottom"/>
          </w:tcPr>
          <w:p>
            <w:pPr>
              <w:spacing w:after="0"/>
              <w:rPr>
                <w:sz w:val="15"/>
                <w:szCs w:val="15"/>
                <w:color w:val="auto"/>
              </w:rPr>
            </w:pPr>
          </w:p>
        </w:tc>
        <w:tc>
          <w:tcPr>
            <w:tcW w:w="20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Pr>
          <w:p>
            <w:pPr>
              <w:spacing w:after="0"/>
              <w:rPr>
                <w:sz w:val="15"/>
                <w:szCs w:val="15"/>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7"/>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Number of securities to be</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 remaining</w:t>
            </w: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issued upon exercise of</w:t>
            </w: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9"/>
              </w:rPr>
              <w:t>Weighted-average exercise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available for issuance under equity</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15"/>
                <w:szCs w:val="15"/>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 options, warrants,</w:t>
            </w:r>
          </w:p>
        </w:tc>
        <w:tc>
          <w:tcPr>
            <w:tcW w:w="18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price of outstanding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compensation plans (excluding</w:t>
            </w: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rights</w:t>
            </w: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4"/>
              </w:rPr>
              <w:t>options</w:t>
            </w:r>
            <w:r>
              <w:rPr>
                <w:rFonts w:ascii="Times New Roman" w:cs="Times New Roman" w:eastAsia="Times New Roman" w:hAnsi="Times New Roman"/>
                <w:sz w:val="18"/>
                <w:szCs w:val="18"/>
                <w:color w:val="auto"/>
                <w:w w:val="94"/>
                <w:vertAlign w:val="superscript"/>
              </w:rPr>
              <w:t>(3)</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 reflected in column (a))</w:t>
            </w:r>
            <w:r>
              <w:rPr>
                <w:rFonts w:ascii="Times New Roman" w:cs="Times New Roman" w:eastAsia="Times New Roman" w:hAnsi="Times New Roman"/>
                <w:sz w:val="18"/>
                <w:szCs w:val="18"/>
                <w:color w:val="auto"/>
                <w:w w:val="97"/>
                <w:vertAlign w:val="superscript"/>
              </w:rPr>
              <w:t>(4)(5)</w:t>
            </w:r>
          </w:p>
        </w:tc>
        <w:tc>
          <w:tcPr>
            <w:tcW w:w="0" w:type="dxa"/>
            <w:vAlign w:val="bottom"/>
          </w:tcPr>
          <w:p>
            <w:pPr>
              <w:spacing w:after="0"/>
              <w:rPr>
                <w:sz w:val="1"/>
                <w:szCs w:val="1"/>
                <w:color w:val="auto"/>
              </w:rPr>
            </w:pPr>
          </w:p>
        </w:tc>
      </w:tr>
      <w:tr>
        <w:trPr>
          <w:trHeight w:val="21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stockholders</w:t>
            </w:r>
            <w:r>
              <w:rPr>
                <w:rFonts w:ascii="Times New Roman" w:cs="Times New Roman" w:eastAsia="Times New Roman" w:hAnsi="Times New Roman"/>
                <w:sz w:val="18"/>
                <w:szCs w:val="18"/>
                <w:color w:val="auto"/>
                <w:vertAlign w:val="superscript"/>
              </w:rPr>
              <w:t>(1)</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2,724,698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8,749,463</w:t>
            </w:r>
          </w:p>
        </w:tc>
        <w:tc>
          <w:tcPr>
            <w:tcW w:w="0" w:type="dxa"/>
            <w:vAlign w:val="bottom"/>
          </w:tcPr>
          <w:p>
            <w:pPr>
              <w:spacing w:after="0"/>
              <w:rPr>
                <w:sz w:val="1"/>
                <w:szCs w:val="1"/>
                <w:color w:val="auto"/>
              </w:rPr>
            </w:pPr>
          </w:p>
        </w:tc>
      </w:tr>
      <w:tr>
        <w:trPr>
          <w:trHeight w:val="246"/>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stockholders</w:t>
            </w:r>
            <w:r>
              <w:rPr>
                <w:rFonts w:ascii="Times New Roman" w:cs="Times New Roman" w:eastAsia="Times New Roman" w:hAnsi="Times New Roman"/>
                <w:sz w:val="18"/>
                <w:szCs w:val="18"/>
                <w:color w:val="auto"/>
                <w:vertAlign w:val="superscript"/>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173,323</w:t>
            </w:r>
          </w:p>
        </w:tc>
        <w:tc>
          <w:tcPr>
            <w:tcW w:w="100" w:type="dxa"/>
            <w:vAlign w:val="bottom"/>
          </w:tcPr>
          <w:p>
            <w:pPr>
              <w:spacing w:after="0"/>
              <w:rPr>
                <w:sz w:val="21"/>
                <w:szCs w:val="21"/>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326,677</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260" w:hanging="255"/>
        <w:spacing w:after="0" w:line="242" w:lineRule="auto"/>
        <w:tabs>
          <w:tab w:leader="none" w:pos="299"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options to purchase 296,341 shares of common stock outstanding under the Legacy Stock Option Plan, options to purchase 45,423 shares of common stock and 587 unvested restricted stock units outstanding under the Legacy 2019 Equity Incentive Plan, and options to purchase 1,614,540 shares of common stock and 236,398 unvested restricted stock units outstanding under the 2021 Equity Incentive Plan. This number also includes a maximum of 531,996 shares of common stock issuable pursuant to outstanding performance share awards under the 2021 Management Equity Incentive Plan.</w:t>
      </w:r>
    </w:p>
    <w:p>
      <w:pPr>
        <w:ind w:left="240" w:hanging="235"/>
        <w:spacing w:after="0"/>
        <w:tabs>
          <w:tab w:leader="none" w:pos="2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options to purchase shares of common stock outstanding under the 2023 Inducement Plan.</w:t>
      </w:r>
    </w:p>
    <w:p>
      <w:pPr>
        <w:spacing w:after="0" w:line="8"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Does not reflect shares of common stock underlying outstanding unvested restricted stock units or performance share awards included in column (a) because these units and awards have no exercise price.</w:t>
      </w:r>
    </w:p>
    <w:p>
      <w:pPr>
        <w:spacing w:after="0" w:line="11" w:lineRule="exact"/>
        <w:rPr>
          <w:rFonts w:ascii="Times New Roman" w:cs="Times New Roman" w:eastAsia="Times New Roman" w:hAnsi="Times New Roman"/>
          <w:sz w:val="11"/>
          <w:szCs w:val="11"/>
          <w:color w:val="auto"/>
        </w:rPr>
      </w:pPr>
    </w:p>
    <w:p>
      <w:pPr>
        <w:ind w:left="260" w:hanging="255"/>
        <w:spacing w:after="0" w:line="261" w:lineRule="auto"/>
        <w:tabs>
          <w:tab w:leader="none" w:pos="274"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8,092,529 shares of common stock available for future issuance under the 2021 Equity Incentive Plan, 193,004 shares of common stock available for future issuance under the 2021 Management Equity Incentive Plan, and 463,930 shares of common stock available for future issuance under the 2021 Employee Stock Purchase Plan.</w:t>
      </w:r>
    </w:p>
    <w:p>
      <w:pPr>
        <w:jc w:val="both"/>
        <w:ind w:left="260" w:hanging="255"/>
        <w:spacing w:after="0" w:line="262" w:lineRule="auto"/>
        <w:tabs>
          <w:tab w:leader="none" w:pos="251"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common stock available for issuance under the 2021 Equity Incentive Plan increases automatically on the first day of each fiscal year of the Company beginning with the 2022 fiscal year and ending with the 2031 fiscal year, in an amount equal to the lesser of (i) 1,641,007 shares, (ii) 5% of the number of outstanding shares of common stock on the last day of the immediately preceding fiscal year and (iii) such number of shares determined by the Board or the Compensation Committee. The number of shares available for issuance under the 2021 Employee Stock Purchase Plan increases automatically on the first day of each fiscal year of the Company beginning with the 2022 fiscal year and ending with the 2041 fiscal year, in an amount equal to the lesser of (i) 328,201 shares, (ii) 1% of the number of outstanding shares of common stock on the last day of the immediately preceding fiscal year or (iii) such number of shares determined by the Board or the Compensation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Other than compensation arrangements for our directors and executive officers, which are described elsewhere in this Annual Report, the following is a description of each transaction since the beginning of the fiscal year ended December 31, 2024, and any currently proposed transaction in which:</w:t>
      </w:r>
    </w:p>
    <w:p>
      <w:pPr>
        <w:spacing w:after="0" w:line="145" w:lineRule="exact"/>
        <w:rPr>
          <w:sz w:val="20"/>
          <w:szCs w:val="20"/>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23" w:lineRule="exact"/>
        <w:rPr>
          <w:rFonts w:ascii="Times New Roman" w:cs="Times New Roman" w:eastAsia="Times New Roman" w:hAnsi="Times New Roman"/>
          <w:sz w:val="14"/>
          <w:szCs w:val="14"/>
          <w:color w:val="auto"/>
        </w:rPr>
      </w:pPr>
    </w:p>
    <w:p>
      <w:pPr>
        <w:ind w:left="600" w:hanging="86"/>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exceeds the lesser of (i) $120,000 or (ii) one percent of the average of our total assets at year-end for the last two completed fiscal years; and</w:t>
      </w:r>
    </w:p>
    <w:p>
      <w:pPr>
        <w:spacing w:after="0" w:line="8" w:lineRule="exact"/>
        <w:rPr>
          <w:rFonts w:ascii="Times New Roman" w:cs="Times New Roman" w:eastAsia="Times New Roman" w:hAnsi="Times New Roman"/>
          <w:sz w:val="14"/>
          <w:szCs w:val="14"/>
          <w:color w:val="auto"/>
        </w:rPr>
      </w:pPr>
    </w:p>
    <w:p>
      <w:pPr>
        <w:ind w:left="580" w:hanging="66"/>
        <w:spacing w:after="0" w:line="266" w:lineRule="auto"/>
        <w:tabs>
          <w:tab w:leader="none" w:pos="60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Registration Rights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the closing of the Business Combination on January 18, 2022, pursuant to the Merger Agreement, the (i) Company, (ii) the Sponsor, HRM Holdings II, LLC and Randall Bort, Michael Cramer and Joseph Gatto, who were GM II independent directors prior to the closing of the Business Combination (collectively, the “Initial Stockholders”) and (iii) those Legacy Sonder stockholders who are a party to that certain Voting and Support Agreement, dated April 29, 2021 (collectively, “Legacy Sonder Supporting Stockholders” and, together with the Company and the Initial Stockholders, the “Registration Rights Holders”) entered into a Registration Rights Agreement (the “Registration Rights Agreement”), pursuant to which the Registration Rights Holders are entitled to certain registration rights with respect to (a) any (1) outstanding share of common stock or any Private Placement Warrants held by the Sponsor and issued at the date of closing of the Company’s initial public offering, (2) shares of common stock issued upon the conversion of the 9,897,715 shares of Class F Stock held by the members of Sponsor, and 25,000 shares of Class F Stock held by each of the Initial Stockholders (after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forfeiture of 1,277,285 shares of Class F Stock by the Sponsor prior to the completion of the Business Combination) (the “Founder Shares”) and upon exercise of the Private Placement Warrants, (3) shares of common stock issued as Earn Out Shares or issuable upon the conversion of any Earn Out Shares, in each case, held by the stockholders of Legacy Sonder prior to the Business Combination, (4) common stock issued or issuable upon conversion of the convertible promissory notes issued by Legacy Sonder to certain purchasers pursuant to the Note Purchase Agreement, dated March 12, 2021, as amended (the “Legacy Sonder Convertible Notes”) or upon exercise of the warrants issued pursuant to the Note Purchase Agreement, dated on or about March 12, 2021 between Legacy Sonder and the other parties thereto and (5) any other equity security of the Company issued or issuable with respect to any such share of common stock referred to in the foregoing clauses “(1)” through “(4)” by way of a stock dividend or stock split or in connection with a combination of shares, recapitalization, merger, consolidation or other reorganization or otherwise, in each case held by such Registration Rights Holder, subject to certain limitations set forth in the Registration Rights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Pre-Business Combination Relationships and Related Party Transactions of GM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Rights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Holders of the Founder Shares, Private Placement Warrants, and Public Warrants issued upon conversion of working capital loans, if any, have registration rights pursuant to the Registration Rights Agreement. The holders of these securities are entitled to make up to three demands that the Company register under the Securities Act the Public Warrants and the common stock underlying the Public Warrants and the Founder Shares. In addition, the holders have certain “piggy-back” registration rights with respect to registration statements filed by the Company subsequent to its completion of the Business Combination and rights to require the Company to register for resale such securities pursuant to Rule 415 under the Securities Act. However, the Registration Rights Agreement provides that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Earn Out Shares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consideration paid at the closing of the Business Combination, holders of Legacy Sonder’s common stock, Series AA Common Exchangeable Preferred Shares of Sonder Canada Inc., and warrants of Legacy Sonder immediately prior to the effective time of the Business Combination (which holders include certain directors, officers and 5% holders of the Company’s capital stock) may receive their pro rata share of the Earn Out Shares as consideration as a result of the common stock achieving a Triggering Event certain benchmark share prices as contemplated by the Merger Agreement. If no Triggering Event occurs by July 17, 2027, no Earn Out Shares will be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August 2024 Preferred Financing</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August 13, 2024, the Company entered into the August 2024 Preferred Financing. The sale of the Preferred Stock pursuant to the August 2024 Securities Purchase Agreements took place in two tranches, with the first tranche, comprised of approximately 14.7 million shares of Preferred Stock for an aggregate purchase price of approximately $14.7 million, closing on August 13, 2024 and the second tranche, comprised of approximately 28.6 million shares of Preferred Stock for an aggregate purchase price of approximately $28.6 million, closing on November 10, 2024 and upon the satisfaction of certain closing conditions set forth in the August 2024 Securities Purchase Agreements, including the Company filing its Annual Report on Form 10-K for the year ended December 31, 2023 and its Quarterly Reports on Form 10-Q for the fiscal quarters ended March 31, 2024 and June 30, 2024 (together, the “SEC Documents”). Following receipt of the 2024 Stockholder Approval, all 43.3 million shares of the Preferred Stock are convertible into shares of common stock.</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August 2024 Securities Purchase Agreements required the Company to hold a special meeting of stockholders within 30 calendar days of the filing of the SEC Documents for the purpose of obtaining the 2024 Stockholder Approval. The 2024 Stockholder Approval was obtained at the 2024 Special Meeting. The August 2024 Securities Purchase Agreements require the Company to file a registration statement under the Securities Act, within 30 calendar days of the filing of the SEC Documents with respect to the resale of shares of common stock receivable upon conversion of the Preferred Stock. The August 2024 Securities Purchase Agreements grant the August 2024 Purchasers the right to purchase up to 25% of any Subsequent Financing within the next five years. The August 2024 Purchasers are entitled to participate on a pro-rata basis (determined by their proportionate participation in the August 2024 Preferred Financing) at a purchase price equal to 75% of the purchase price of any other investor in such Subsequent Financing.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Affiliates of Atreides Management, LP, the beneficial owner of 9.1% of our common stock prior to the closing on August 13, 2024, Francis Davidson, the Company’s former CEO and a former member of the Board, and Sanjay Banker, a member of the Board, are parties to the August 2024 Securities Purchase Agreements, with commitments of approximately $15,000,000, $1,500,000, and $100,000, respectively, in the August 2024 Preferred Financing.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April 2025 Preferred Financing</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11, 2025, the Company entered into the April 2025 Preferred Financing. The sale of the Series A Preferred Stock pursuant to the April 2025 Securities Purchase Agreements took place on April 11, 2025. Following receipt of the 2025 Stockholder Approval, all 17.98 million shares of the Series A Preferred Stock are convertible into shares of common stock.</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April 2025 Securities Purchase Agreements require the Company to hold a special meeting of stockholders within 30 calendar days of the filing of this Annual Report on Form 10-K for the purpose of obtaining the 2025 Stockholder Approval. The Company obtained the 2025 Stockholder Approval at the 2025 Special Meeting of Stockholders. The April 2025 Securities Purchase Agreements require the Company to file a registration statement under the Securities Act, within 30 calendar days of the filing of this Annual Report on Form 10-K with respect to the resale of shares of common stock receivable upon conversion of the Series A Preferred Stock. The April 2025 Securities Purchase Agreements grant the April 2025 Purchasers the right to purchase up to 25% of any Subsequent Financing. The April 2025 Purchasers are entitled to participate on a pro-rata basis (determined by their proportionate participation in the April 2025 Preferred Financing) at a purchase price equal to 75% of the purchase price of any other investor in such Subsequent Financing.</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Affiliates of Atreides Management, LP, the beneficial owner of more than 5% of our common stock, and Francis Davidson, the Company’s former CEO and a former member of the Board, are parties to the April 2025 Securities Purchase Agreements, with commitments of approximately $4,000,000 and $595,000, respectively, in the April 2025 Preferred Financing.</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April 2025 Preferred Financing, on April 11, 2025, the Company entered into the Voting Support Agreement with stockholders representing approximately 58% of the Company’s outstanding voting power prior to the April 2025 Preferred Financing, pursuant to which the stockholder parties thereto agreed to, among other things, vote in favor of a proposal to approve the issuance of the shares of Company’s common stock issuable upon conversion of the Series A Preferred Stock in accordance with Rule 5635 of The Nasdaq Stock Market LLC and a proposal to increase the number of authorized shares of the Company’s common stock to 210,921,255 shares. The Voting Support Agreement terminated in accordance with its term following the completion of the 2025 Special Meeting. Francis Davidson, the Company’s former CEO and a former member of the Board, was a party to the Voting Support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Review, Approval, and Ratification of Transactions with Related Parties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Board has adopted a written related person transactions policy that sets forth the Company’s policies and procedures regarding the identification, review, consideration and oversight of “related person transactions” (the “Related Person Transaction Policy”). For purposes of the Related Person Transaction Policy, a “related person transaction” is a transaction, arrangement or relationship (or any series of similar transactions, arrangements or relationships) or any proposed transaction, arrangement or relationship, in which the Company is a participant and in which any “related person” has, had or will have a direct or indirect material interest (as contemplated by Item 404(a) of Regulation S-K under the Exchange Act) and the aggregate amount involved exceeds One Hundred Twenty Thousand U.S. Dollars ($120,000).</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Transactions involving compensation for services provided to the Company as an employee, consultant or director will not be considered related person transactions under this policy. For purposes of the Company’s policy, a related person is (i) any person who is, or at any time since the beginning of the Company’s last fiscal year was, a director or executive officer of the Company; (ii) nominees for director of the Company; (iii) any person or entity known by the Company to be the beneficial owner of more than five percent (5%) of any class of the Company’s voting securities (each, a “5% Stockholder”); (iv) any immediate family member of any of the foregoing; or (v) affiliates of the Company (i.e., subsidiaries).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Related Person Transaction Policy, each of the Company’s directors and executive officers (and, to the extent that they are otherwise employed by or affiliated with the Company, 5% Stockholders) will inform the Company’s General Counsel or their designee of any potential related person transactions of which they become aware. The Audit Committee will review (with management) on a periodic basis, and no less than quarterly, (i) any proposed related person transactions,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or (ii) any related person transactions of which they have become aware and which have not previously been approved by the Audit Committee. The Audit Committee’s review will include, in each case, the terms, business purposes and proposed value of such transactions. After review, the Audit Committee will approve, ratify or disapprove such transactions. In certain limited situations the Chairperson of the Audit Committee may review and approve related person transactions if the aggregate amount involved in any such transaction, or series of related transactions, is expected to be less than Two Hundred Fifty Thousand U.S. Dollars ($250,000). Any such approval will be reported to the Audit Committee at its next regularly scheduled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identify related person transactions in advance, the Company will rely on information supplied by the Company’s executive officers, directors, and certain significant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considering related person transactions, the Audit Committee will take into account the following factors, to the extent relevant to the related person transaction:</w:t>
      </w:r>
    </w:p>
    <w:p>
      <w:pPr>
        <w:spacing w:after="0" w:line="200" w:lineRule="exact"/>
        <w:rPr>
          <w:sz w:val="20"/>
          <w:szCs w:val="20"/>
          <w:color w:val="auto"/>
        </w:rPr>
      </w:pPr>
    </w:p>
    <w:p>
      <w:pPr>
        <w:ind w:left="640" w:hanging="126"/>
        <w:spacing w:after="0" w:line="263" w:lineRule="auto"/>
        <w:tabs>
          <w:tab w:leader="none" w:pos="63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related person transaction is fair to the Company and on terms no less favorable than terms generally available to an unaffiliated third-party under the same or similar circumstances;</w:t>
      </w:r>
    </w:p>
    <w:p>
      <w:pPr>
        <w:ind w:left="640" w:hanging="126"/>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the related person’s interest in the transaction;</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there are business reasons for the Company to enter into the related person transaction;</w:t>
      </w:r>
    </w:p>
    <w:p>
      <w:pPr>
        <w:spacing w:after="0" w:line="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related person transaction would impair the independence of an outside director, including the ability of any director to serve on a committee of the Board; and</w:t>
      </w:r>
    </w:p>
    <w:p>
      <w:pPr>
        <w:spacing w:after="0" w:line="8" w:lineRule="exact"/>
        <w:rPr>
          <w:rFonts w:ascii="Times New Roman" w:cs="Times New Roman" w:eastAsia="Times New Roman" w:hAnsi="Times New Roman"/>
          <w:sz w:val="14"/>
          <w:szCs w:val="14"/>
          <w:color w:val="auto"/>
        </w:rPr>
      </w:pPr>
    </w:p>
    <w:p>
      <w:pPr>
        <w:jc w:val="both"/>
        <w:ind w:left="640" w:hanging="126"/>
        <w:spacing w:after="0" w:line="259" w:lineRule="auto"/>
        <w:tabs>
          <w:tab w:leader="none" w:pos="63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related person transaction would present an improper conflict of interest for any director or executive officer of the Company, taking into account the size of the transaction, the overall financial position of the director, executive officer or Related Person, the direct or indirect nature of the director’s, executive officer’s or related person’s interest in the transaction and the ongoing nature of any proposed relationship, and any other factors the Audit Committee deems relevant.</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Related Person Transaction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Related Person Transaction Policy, our Audit Committee charter provides that our Audit Committee shall review and approve or disapprove any related person transactions.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Board has affirmatively determined that all of our directors, other than Messrs. Banker and Davidson due to their status as employees or former employees of the Company, have no relationship with the Company that would interfere with the exercise of independent judgment in carrying out the responsibilities of a director and that such individuals are independent directors within the meaning of the applicable Nasdaq listing standards and relevant securities and other laws, rules and regulations regarding the definition of “independent” (the “Independent Directors”). All members of the Audit Committee, the Nominating Committee, and the Compensation Committee are Independent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fees in the table below for the years ended December 31, 2024 and 2023 were paid to Deloitte &amp; Touche LLP,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690"/>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620" w:type="dxa"/>
            <w:vAlign w:val="bottom"/>
          </w:tcPr>
          <w:p>
            <w:pPr>
              <w:spacing w:after="0"/>
              <w:rPr>
                <w:sz w:val="24"/>
                <w:szCs w:val="24"/>
                <w:color w:val="auto"/>
              </w:rPr>
            </w:pPr>
          </w:p>
        </w:tc>
        <w:tc>
          <w:tcPr>
            <w:tcW w:w="29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7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9"/>
                <w:szCs w:val="19"/>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9"/>
                <w:szCs w:val="19"/>
                <w:color w:val="auto"/>
              </w:rPr>
            </w:pPr>
          </w:p>
        </w:tc>
      </w:tr>
      <w:tr>
        <w:trPr>
          <w:trHeight w:val="32"/>
        </w:trPr>
        <w:tc>
          <w:tcPr>
            <w:tcW w:w="20" w:type="dxa"/>
            <w:vAlign w:val="bottom"/>
          </w:tcPr>
          <w:p>
            <w:pPr>
              <w:spacing w:after="0"/>
              <w:rPr>
                <w:sz w:val="2"/>
                <w:szCs w:val="2"/>
                <w:color w:val="auto"/>
              </w:rPr>
            </w:pPr>
          </w:p>
        </w:tc>
        <w:tc>
          <w:tcPr>
            <w:tcW w:w="76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3,525,000</w:t>
            </w:r>
          </w:p>
        </w:tc>
        <w:tc>
          <w:tcPr>
            <w:tcW w:w="116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4,350,315</w:t>
            </w: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18"/>
                <w:szCs w:val="18"/>
                <w:color w:val="auto"/>
                <w:vertAlign w:val="superscript"/>
              </w:rPr>
              <w:t>(2)</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348,468</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131,000</w:t>
            </w:r>
          </w:p>
        </w:tc>
      </w:tr>
      <w:tr>
        <w:trPr>
          <w:trHeight w:val="223"/>
        </w:trPr>
        <w:tc>
          <w:tcPr>
            <w:tcW w:w="20" w:type="dxa"/>
            <w:vAlign w:val="bottom"/>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(3)</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(4)</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233"/>
        </w:trPr>
        <w:tc>
          <w:tcPr>
            <w:tcW w:w="20" w:type="dxa"/>
            <w:vAlign w:val="bottom"/>
          </w:tcPr>
          <w:p>
            <w:pPr>
              <w:spacing w:after="0"/>
              <w:rPr>
                <w:sz w:val="19"/>
                <w:szCs w:val="19"/>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3,877,258</w:t>
            </w:r>
          </w:p>
        </w:tc>
        <w:tc>
          <w:tcPr>
            <w:tcW w:w="116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4,483,210</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160" w:hanging="155"/>
        <w:spacing w:after="0"/>
        <w:tabs>
          <w:tab w:leader="none" w:pos="1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for 2024 and 2023 include fees associated with the annual audit of our financial statements, reviews of quarterly financial information and the review of our Quarterly Reports on Form 10-Q and Annual Report on Form 10-K.</w:t>
      </w:r>
    </w:p>
    <w:p>
      <w:pPr>
        <w:spacing w:after="0" w:line="12"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Audit-related fees for 2024 and 2023 consisted of fees for professional services rendered in connection with the submission of our Registration Statement on Form S-8, as well as additional audit-related administrative fees.</w:t>
      </w:r>
    </w:p>
    <w:p>
      <w:pPr>
        <w:spacing w:after="0" w:line="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Deloitte &amp; Touche LLP did not perform any tax compliance, tax advice or tax planning services in the fiscal years shown.</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Other Fees in 2024 and 2023 included fees associated with products and services (online research tools) provided by Deloitte &amp; Touche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on Audit Committee Pre-Approval of Audit and Permissible Non-Audit Services of Independent Registered Public Accounting Firm</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services listed in the table above provided by Deloitte &amp; Touche LLP were approved by our Audit Committee.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00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903"/>
        </w:trPr>
        <w:tc>
          <w:tcPr>
            <w:tcW w:w="1000" w:type="dxa"/>
            <w:vAlign w:val="bottom"/>
            <w:tcBorders>
              <w:top w:val="single" w:sz="8" w:color="0000FF"/>
            </w:tcBorders>
          </w:tcPr>
          <w:p>
            <w:pPr>
              <w:spacing w:after="0"/>
              <w:rPr>
                <w:sz w:val="24"/>
                <w:szCs w:val="24"/>
                <w:color w:val="auto"/>
              </w:rPr>
            </w:pPr>
          </w:p>
        </w:tc>
        <w:tc>
          <w:tcPr>
            <w:tcW w:w="4040" w:type="dxa"/>
            <w:vAlign w:val="bottom"/>
          </w:tcPr>
          <w:p>
            <w:pPr>
              <w:spacing w:after="0"/>
              <w:rPr>
                <w:sz w:val="24"/>
                <w:szCs w:val="24"/>
                <w:color w:val="auto"/>
              </w:rPr>
            </w:pPr>
          </w:p>
        </w:tc>
        <w:tc>
          <w:tcPr>
            <w:tcW w:w="6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PART IV</w:t>
            </w:r>
          </w:p>
        </w:tc>
      </w:tr>
      <w:tr>
        <w:trPr>
          <w:trHeight w:val="424"/>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40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61"/>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The following documents are filed as part of this Annual Report on Form 10-K:</w:t>
            </w:r>
          </w:p>
        </w:tc>
        <w:tc>
          <w:tcPr>
            <w:tcW w:w="40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03"/>
        </w:trPr>
        <w:tc>
          <w:tcPr>
            <w:tcW w:w="1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32"/>
        </w:trPr>
        <w:tc>
          <w:tcPr>
            <w:tcW w:w="504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8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73</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77</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78</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Mezzanine Equity and Stockholders’ Deficit</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79</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80</w:t>
            </w: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6240" w:type="dxa"/>
            <w:vAlign w:val="bottom"/>
            <w:gridSpan w:val="2"/>
          </w:tcPr>
          <w:p>
            <w:pPr>
              <w:jc w:val="center"/>
              <w:ind w:left="3909"/>
              <w:spacing w:after="0"/>
              <w:rPr>
                <w:sz w:val="20"/>
                <w:szCs w:val="20"/>
                <w:color w:val="auto"/>
              </w:rPr>
            </w:pPr>
            <w:r>
              <w:rPr>
                <w:rFonts w:ascii="Times New Roman" w:cs="Times New Roman" w:eastAsia="Times New Roman" w:hAnsi="Times New Roman"/>
                <w:sz w:val="14"/>
                <w:szCs w:val="14"/>
                <w:color w:val="auto"/>
                <w:w w:val="99"/>
              </w:rPr>
              <w:t>81</w:t>
            </w:r>
          </w:p>
        </w:tc>
      </w:tr>
    </w:tbl>
    <w:p>
      <w:pPr>
        <w:spacing w:after="0" w:line="283" w:lineRule="exact"/>
        <w:rPr>
          <w:sz w:val="20"/>
          <w:szCs w:val="20"/>
          <w:color w:val="auto"/>
        </w:rPr>
      </w:pPr>
    </w:p>
    <w:p>
      <w:pPr>
        <w:ind w:left="6220" w:right="2380" w:hanging="6215"/>
        <w:spacing w:after="0" w:line="445" w:lineRule="auto"/>
        <w:tabs>
          <w:tab w:leader="none" w:pos="21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The exhibits listed in the accompanying index to the exhibits are filed or incorporated by reference as part of this Annual Report on Form 10-K. Incorporated by Reference</w:t>
      </w: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Filed or Furnished</w:t>
            </w:r>
          </w:p>
        </w:tc>
      </w:tr>
      <w:tr>
        <w:trPr>
          <w:trHeight w:val="18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780" w:type="dxa"/>
            <w:vAlign w:val="bottom"/>
          </w:tcPr>
          <w:p>
            <w:pPr>
              <w:spacing w:after="0"/>
              <w:rPr>
                <w:sz w:val="16"/>
                <w:szCs w:val="16"/>
                <w:color w:val="auto"/>
              </w:rPr>
            </w:pPr>
          </w:p>
        </w:tc>
        <w:tc>
          <w:tcPr>
            <w:tcW w:w="2260" w:type="dxa"/>
            <w:vAlign w:val="bottom"/>
            <w:gridSpan w:val="10"/>
          </w:tcPr>
          <w:p>
            <w:pPr>
              <w:ind w:left="50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File No.</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Exhibit No.</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Filing Date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r>
      <w:tr>
        <w:trPr>
          <w:trHeight w:val="32"/>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282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Agreement and Plan of Merger, dated as of April</w:t>
              </w:r>
            </w:hyperlink>
          </w:p>
        </w:tc>
        <w:tc>
          <w:tcPr>
            <w:tcW w:w="220" w:type="dxa"/>
            <w:vAlign w:val="bottom"/>
            <w:gridSpan w:val="5"/>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30, 2021</w:t>
            </w:r>
          </w:p>
        </w:tc>
        <w:tc>
          <w:tcPr>
            <w:tcW w:w="1540" w:type="dxa"/>
            <w:vAlign w:val="bottom"/>
          </w:tcPr>
          <w:p>
            <w:pPr>
              <w:spacing w:after="0"/>
              <w:rPr>
                <w:sz w:val="15"/>
                <w:szCs w:val="15"/>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29, 2021, by and among Gores Metropoulos II,</w:t>
              </w:r>
            </w:hyperlink>
          </w:p>
        </w:tc>
        <w:tc>
          <w:tcPr>
            <w:tcW w:w="36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Inc., Sunshine Merger Sub I, Inc., Sunshine Merger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Sub II, LLC, and Sonder Holdings Inc.</w:t>
              </w:r>
            </w:hyperlink>
          </w:p>
        </w:tc>
        <w:tc>
          <w:tcPr>
            <w:tcW w:w="700" w:type="dxa"/>
            <w:vAlign w:val="bottom"/>
            <w:tcBorders>
              <w:top w:val="single" w:sz="8" w:color="0000FF"/>
            </w:tcBorders>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5"/>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0"/>
                <w:szCs w:val="20"/>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Amendment No. 1, dated as of October 27, 2021,</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2.1</w:t>
            </w: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28, 2021</w:t>
            </w:r>
          </w:p>
        </w:tc>
        <w:tc>
          <w:tcPr>
            <w:tcW w:w="15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by and among Gores Metropoulos II, Inc., Sunshine</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Merger Sub I, Inc., Sunshine Merger Sub II, LLC,</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and Sonder Holdings Inc.</w:t>
              </w:r>
            </w:hyperlink>
          </w:p>
        </w:tc>
        <w:tc>
          <w:tcPr>
            <w:tcW w:w="158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45"/>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1"/>
                <w:szCs w:val="21"/>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Amended and Restated Certificate of Incorporation</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21"/>
                <w:szCs w:val="2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24, 2022</w:t>
            </w:r>
          </w:p>
        </w:tc>
        <w:tc>
          <w:tcPr>
            <w:tcW w:w="1540" w:type="dxa"/>
            <w:vAlign w:val="bottom"/>
          </w:tcPr>
          <w:p>
            <w:pPr>
              <w:spacing w:after="0"/>
              <w:rPr>
                <w:sz w:val="21"/>
                <w:szCs w:val="2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of Sonder Holdings Inc.</w:t>
              </w:r>
            </w:hyperlink>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5"/>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20"/>
                <w:szCs w:val="20"/>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Certificate  of  Amendment  of  Amended  and</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19, 2023</w:t>
            </w:r>
          </w:p>
        </w:tc>
        <w:tc>
          <w:tcPr>
            <w:tcW w:w="15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Restated Certificate of Incorporation of Sonder</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179">
              <w:r>
                <w:rPr>
                  <w:rFonts w:ascii="Times New Roman" w:cs="Times New Roman" w:eastAsia="Times New Roman" w:hAnsi="Times New Roman"/>
                  <w:sz w:val="14"/>
                  <w:szCs w:val="14"/>
                  <w:color w:val="0000FF"/>
                  <w:w w:val="99"/>
                </w:rPr>
                <w:t>Holdings Inc.</w:t>
              </w:r>
            </w:hyperlink>
          </w:p>
        </w:tc>
        <w:tc>
          <w:tcPr>
            <w:tcW w:w="22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Certificate  of  Amendment  of  Amended  and</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October 1, 2024</w:t>
            </w:r>
          </w:p>
        </w:tc>
        <w:tc>
          <w:tcPr>
            <w:tcW w:w="15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Restated Certificate of Incorporation of Sonder</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180">
              <w:r>
                <w:rPr>
                  <w:rFonts w:ascii="Times New Roman" w:cs="Times New Roman" w:eastAsia="Times New Roman" w:hAnsi="Times New Roman"/>
                  <w:sz w:val="14"/>
                  <w:szCs w:val="14"/>
                  <w:color w:val="0000FF"/>
                  <w:w w:val="99"/>
                </w:rPr>
                <w:t>Holdings Inc.</w:t>
              </w:r>
            </w:hyperlink>
          </w:p>
        </w:tc>
        <w:tc>
          <w:tcPr>
            <w:tcW w:w="22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Certificate  of  Amendment  of  Amended  and</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30, 2024</w:t>
            </w:r>
          </w:p>
        </w:tc>
        <w:tc>
          <w:tcPr>
            <w:tcW w:w="15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Restated Certificate of Incorporation of Sonder</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181">
              <w:r>
                <w:rPr>
                  <w:rFonts w:ascii="Times New Roman" w:cs="Times New Roman" w:eastAsia="Times New Roman" w:hAnsi="Times New Roman"/>
                  <w:sz w:val="14"/>
                  <w:szCs w:val="14"/>
                  <w:color w:val="0000FF"/>
                  <w:w w:val="99"/>
                </w:rPr>
                <w:t>Holdings Inc.</w:t>
              </w:r>
            </w:hyperlink>
          </w:p>
        </w:tc>
        <w:tc>
          <w:tcPr>
            <w:tcW w:w="226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9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Certificate  of  Amendment  of  Amended  and</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June 11, 2025</w:t>
            </w:r>
          </w:p>
        </w:tc>
        <w:tc>
          <w:tcPr>
            <w:tcW w:w="15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Restated Certificate of Incorporation of Sonder</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Holdings Inc.</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775"/>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87"/>
        </w:trPr>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r>
      <w:tr>
        <w:trPr>
          <w:trHeight w:val="32"/>
        </w:trPr>
        <w:tc>
          <w:tcPr>
            <w:tcW w:w="12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0"/>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13"/>
          </w:tcPr>
          <w:p>
            <w:pPr>
              <w:ind w:left="38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File No.</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bottom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Certificate of Designation of Powers, Preferences</w:t>
              </w:r>
            </w:hyperlink>
          </w:p>
        </w:tc>
        <w:tc>
          <w:tcPr>
            <w:tcW w:w="40" w:type="dxa"/>
            <w:vAlign w:val="bottom"/>
            <w:gridSpan w:val="2"/>
          </w:tcPr>
          <w:p>
            <w:pPr>
              <w:spacing w:after="0"/>
              <w:rPr>
                <w:sz w:val="13"/>
                <w:szCs w:val="13"/>
                <w:color w:val="auto"/>
              </w:rPr>
            </w:pPr>
          </w:p>
        </w:tc>
        <w:tc>
          <w:tcPr>
            <w:tcW w:w="840" w:type="dxa"/>
            <w:vAlign w:val="bottom"/>
            <w:gridSpan w:val="2"/>
          </w:tcPr>
          <w:p>
            <w:pPr>
              <w:jc w:val="center"/>
              <w:ind w:right="60"/>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3"/>
                <w:szCs w:val="13"/>
                <w:color w:val="auto"/>
              </w:rPr>
            </w:pPr>
          </w:p>
        </w:tc>
        <w:tc>
          <w:tcPr>
            <w:tcW w:w="13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3"/>
                <w:szCs w:val="13"/>
                <w:color w:val="auto"/>
              </w:rPr>
            </w:pPr>
          </w:p>
        </w:tc>
        <w:tc>
          <w:tcPr>
            <w:tcW w:w="15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August 19, 2024</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and Rights of Series A Convertible Preferred Stock</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of Sonder Holdings Inc.</w:t>
              </w:r>
            </w:hyperlink>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Certificate  of  Amendment  to  Certificate  of</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Designation of Powers, Preferences and Rights of</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4"/>
          </w:tcPr>
          <w:p>
            <w:pPr>
              <w:spacing w:after="0" w:line="150"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Series A Convertible Preferred Stock of Sonder</w:t>
              </w:r>
            </w:hyperlink>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9"/>
              </w:rPr>
            </w:pPr>
            <w:hyperlink r:id="rId186">
              <w:r>
                <w:rPr>
                  <w:rFonts w:ascii="Times New Roman" w:cs="Times New Roman" w:eastAsia="Times New Roman" w:hAnsi="Times New Roman"/>
                  <w:sz w:val="14"/>
                  <w:szCs w:val="14"/>
                  <w:color w:val="0000FF"/>
                  <w:w w:val="99"/>
                </w:rPr>
                <w:t>Holdings Inc.</w:t>
              </w:r>
            </w:hyperlink>
          </w:p>
        </w:tc>
        <w:tc>
          <w:tcPr>
            <w:tcW w:w="2260" w:type="dxa"/>
            <w:vAlign w:val="bottom"/>
            <w:gridSpan w:val="1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Amended and Restated Bylaws of Sonder Holdings</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30, 2022</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Inc.</w:t>
              </w:r>
            </w:hyperlink>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Specimen Stock Certificate of the Company</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Specimen Warrant Certificate of the Company</w:t>
              </w:r>
            </w:hyperlink>
          </w:p>
        </w:tc>
        <w:tc>
          <w:tcPr>
            <w:tcW w:w="400" w:type="dxa"/>
            <w:vAlign w:val="bottom"/>
            <w:gridSpan w:val="6"/>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333-251663</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December 23, 2020</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Warrant Agreement, dated as of January 22, 2021,</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25, 2021</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by  and  among  Gores  Metropoulos  II,  Inc.,</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Computershare  Inc.,  and  Computershare  Trust</w:t>
              </w:r>
            </w:hyperlink>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9"/>
              </w:rPr>
            </w:pPr>
            <w:hyperlink r:id="rId190">
              <w:r>
                <w:rPr>
                  <w:rFonts w:ascii="Times New Roman" w:cs="Times New Roman" w:eastAsia="Times New Roman" w:hAnsi="Times New Roman"/>
                  <w:sz w:val="14"/>
                  <w:szCs w:val="14"/>
                  <w:color w:val="0000FF"/>
                  <w:w w:val="99"/>
                </w:rPr>
                <w:t>Company, N.A.</w:t>
              </w:r>
            </w:hyperlink>
          </w:p>
        </w:tc>
        <w:tc>
          <w:tcPr>
            <w:tcW w:w="214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Form of Warrant Agreement, dated as of January</w:t>
              </w:r>
            </w:hyperlink>
          </w:p>
        </w:tc>
        <w:tc>
          <w:tcPr>
            <w:tcW w:w="60" w:type="dxa"/>
            <w:vAlign w:val="bottom"/>
            <w:gridSpan w:val="3"/>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333-262438</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4.4</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31,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19, 20222, by and among Sonder Holdings Inc.,</w:t>
              </w:r>
            </w:hyperlink>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Computershare  Inc.,  and  Computershare  Trust</w:t>
              </w:r>
            </w:hyperlink>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9"/>
              </w:rPr>
            </w:pPr>
            <w:hyperlink r:id="rId191">
              <w:r>
                <w:rPr>
                  <w:rFonts w:ascii="Times New Roman" w:cs="Times New Roman" w:eastAsia="Times New Roman" w:hAnsi="Times New Roman"/>
                  <w:sz w:val="14"/>
                  <w:szCs w:val="14"/>
                  <w:color w:val="0000FF"/>
                  <w:w w:val="99"/>
                </w:rPr>
                <w:t>Company, N.A.</w:t>
              </w:r>
            </w:hyperlink>
          </w:p>
        </w:tc>
        <w:tc>
          <w:tcPr>
            <w:tcW w:w="214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Warrant Agreement, dated as of June 10, 2024, by</w:t>
              </w:r>
            </w:hyperlink>
          </w:p>
        </w:tc>
        <w:tc>
          <w:tcPr>
            <w:tcW w:w="40" w:type="dxa"/>
            <w:vAlign w:val="bottom"/>
            <w:gridSpan w:val="2"/>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11, 2024</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and between Sonder Holdings Inc., Computershare</w:t>
              </w:r>
            </w:hyperlink>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7"/>
          </w:tcPr>
          <w:p>
            <w:pPr>
              <w:spacing w:after="0" w:line="150"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Inc., and Computershare Trust Company, N.A.</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Form of Warrant Agreement, dated as of December</w:t>
              </w:r>
            </w:hyperlink>
          </w:p>
        </w:tc>
        <w:tc>
          <w:tcPr>
            <w:tcW w:w="40" w:type="dxa"/>
            <w:vAlign w:val="bottom"/>
            <w:gridSpan w:val="2"/>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December 30, 2024</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30, 2024, by and among Sonder Holdings Inc.,</w:t>
              </w:r>
            </w:hyperlink>
          </w:p>
        </w:tc>
        <w:tc>
          <w:tcPr>
            <w:tcW w:w="6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Computershare  Inc.,  and  Computershare  Trust</w:t>
              </w:r>
            </w:hyperlink>
          </w:p>
        </w:tc>
        <w:tc>
          <w:tcPr>
            <w:tcW w:w="8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9"/>
              </w:rPr>
            </w:pPr>
            <w:hyperlink r:id="rId193">
              <w:r>
                <w:rPr>
                  <w:rFonts w:ascii="Times New Roman" w:cs="Times New Roman" w:eastAsia="Times New Roman" w:hAnsi="Times New Roman"/>
                  <w:sz w:val="14"/>
                  <w:szCs w:val="14"/>
                  <w:color w:val="0000FF"/>
                  <w:w w:val="99"/>
                </w:rPr>
                <w:t>Company, N.A.</w:t>
              </w:r>
            </w:hyperlink>
          </w:p>
        </w:tc>
        <w:tc>
          <w:tcPr>
            <w:tcW w:w="214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of Common Stock Purchase Warrant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c>
          <w:tcPr>
            <w:tcW w:w="1000" w:type="dxa"/>
            <w:vAlign w:val="bottom"/>
            <w:tcBorders>
              <w:top w:val="single" w:sz="8" w:color="0000FF"/>
            </w:tcBorders>
            <w:gridSpan w:val="3"/>
          </w:tcPr>
          <w:p>
            <w:pPr>
              <w:spacing w:after="0"/>
              <w:rPr>
                <w:sz w:val="21"/>
                <w:szCs w:val="21"/>
                <w:color w:val="auto"/>
              </w:rPr>
            </w:pPr>
          </w:p>
        </w:tc>
        <w:tc>
          <w:tcPr>
            <w:tcW w:w="620" w:type="dxa"/>
            <w:vAlign w:val="bottom"/>
            <w:gridSpan w:val="8"/>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Form of Existing Subscription Agreement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30, 2021</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Form  of  Amendment  to  Existing  Subscription</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28, 2021</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w w:val="99"/>
              </w:rPr>
            </w:pPr>
            <w:hyperlink r:id="rId196">
              <w:r>
                <w:rPr>
                  <w:rFonts w:ascii="Times New Roman" w:cs="Times New Roman" w:eastAsia="Times New Roman" w:hAnsi="Times New Roman"/>
                  <w:sz w:val="14"/>
                  <w:szCs w:val="14"/>
                  <w:color w:val="0000FF"/>
                  <w:w w:val="99"/>
                </w:rPr>
                <w:t>Agreement</w:t>
              </w:r>
            </w:hyperlink>
          </w:p>
        </w:tc>
        <w:tc>
          <w:tcPr>
            <w:tcW w:w="230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17"/>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Form of New Subscription Agreement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28, 2021</w:t>
            </w:r>
          </w:p>
        </w:tc>
      </w:tr>
      <w:tr>
        <w:trPr>
          <w:trHeight w:val="7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Filed or Furnished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26035</wp:posOffset>
            </wp:positionV>
            <wp:extent cx="97663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9680" w:space="320"/>
            <w:col w:w="1040"/>
          </w:cols>
          <w:pgMar w:left="300" w:top="116" w:right="55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r>
      <w:tr>
        <w:trPr>
          <w:trHeight w:val="32"/>
        </w:trPr>
        <w:tc>
          <w:tcPr>
            <w:tcW w:w="122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0"/>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820" w:type="dxa"/>
            <w:vAlign w:val="bottom"/>
          </w:tcPr>
          <w:p>
            <w:pPr>
              <w:spacing w:after="0"/>
              <w:rPr>
                <w:sz w:val="24"/>
                <w:szCs w:val="24"/>
                <w:color w:val="auto"/>
              </w:rPr>
            </w:pPr>
          </w:p>
        </w:tc>
        <w:tc>
          <w:tcPr>
            <w:tcW w:w="2220" w:type="dxa"/>
            <w:vAlign w:val="bottom"/>
            <w:gridSpan w:val="12"/>
          </w:tcPr>
          <w:p>
            <w:pPr>
              <w:ind w:left="46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File No.</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Amended  and  Restated  Registration  Rights</w:t>
              </w:r>
            </w:hyperlink>
          </w:p>
        </w:tc>
        <w:tc>
          <w:tcPr>
            <w:tcW w:w="80" w:type="dxa"/>
            <w:vAlign w:val="bottom"/>
            <w:gridSpan w:val="3"/>
          </w:tcPr>
          <w:p>
            <w:pPr>
              <w:spacing w:after="0"/>
              <w:rPr>
                <w:sz w:val="13"/>
                <w:szCs w:val="13"/>
                <w:color w:val="auto"/>
              </w:rPr>
            </w:pPr>
          </w:p>
        </w:tc>
        <w:tc>
          <w:tcPr>
            <w:tcW w:w="840" w:type="dxa"/>
            <w:vAlign w:val="bottom"/>
            <w:gridSpan w:val="2"/>
          </w:tcPr>
          <w:p>
            <w:pPr>
              <w:jc w:val="center"/>
              <w:ind w:right="60"/>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3"/>
                <w:szCs w:val="13"/>
                <w:color w:val="auto"/>
              </w:rPr>
            </w:pPr>
          </w:p>
        </w:tc>
        <w:tc>
          <w:tcPr>
            <w:tcW w:w="13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Pr>
          <w:p>
            <w:pPr>
              <w:spacing w:after="0"/>
              <w:rPr>
                <w:sz w:val="13"/>
                <w:szCs w:val="13"/>
                <w:color w:val="auto"/>
              </w:rPr>
            </w:pPr>
          </w:p>
        </w:tc>
        <w:tc>
          <w:tcPr>
            <w:tcW w:w="15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January 24, 2022</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3"/>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Agreement, by and among Sonder Holdings Inc.</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(f/k/a  Gores  Metropoulos  II,  Inc.),  Gores</w:t>
              </w:r>
            </w:hyperlink>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Metropoulos Sponsor II, LLC, the Gores Holders</w:t>
              </w:r>
            </w:hyperlink>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and the Sonder Holders</w:t>
              </w:r>
            </w:hyperlink>
          </w:p>
        </w:tc>
        <w:tc>
          <w:tcPr>
            <w:tcW w:w="1700" w:type="dxa"/>
            <w:vAlign w:val="bottom"/>
            <w:gridSpan w:val="11"/>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Management Equity Incentive Plan</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S-4</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7, 2021</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Restricted Stock Unit Agreement under</w:t>
              </w:r>
            </w:hyperlink>
          </w:p>
        </w:tc>
        <w:tc>
          <w:tcPr>
            <w:tcW w:w="80" w:type="dxa"/>
            <w:vAlign w:val="bottom"/>
            <w:gridSpan w:val="3"/>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Management Equity Incentive Plan</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Sonder Holdings Inc. 2021 Equity Incentive Plan</w:t>
              </w:r>
            </w:hyperlink>
          </w:p>
        </w:tc>
        <w:tc>
          <w:tcPr>
            <w:tcW w:w="240" w:type="dxa"/>
            <w:vAlign w:val="bottom"/>
            <w:gridSpan w:val="5"/>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December 13, 2021</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First Amendment to Sonder Holdings Inc. 2021</w:t>
              </w:r>
            </w:hyperlink>
          </w:p>
        </w:tc>
        <w:tc>
          <w:tcPr>
            <w:tcW w:w="60" w:type="dxa"/>
            <w:vAlign w:val="bottom"/>
            <w:gridSpan w:val="2"/>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December 30, 2024</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Equity Incentive Plan, effective December 23, 2024</w:t>
              </w:r>
            </w:hyperlink>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Form of Option Agreement under 2021 Equity</w:t>
              </w:r>
            </w:hyperlink>
          </w:p>
        </w:tc>
        <w:tc>
          <w:tcPr>
            <w:tcW w:w="80" w:type="dxa"/>
            <w:vAlign w:val="bottom"/>
            <w:gridSpan w:val="3"/>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Incentive Plan</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Form of Restricted Stock Unit Agreement under</w:t>
              </w:r>
            </w:hyperlink>
          </w:p>
        </w:tc>
        <w:tc>
          <w:tcPr>
            <w:tcW w:w="80" w:type="dxa"/>
            <w:vAlign w:val="bottom"/>
            <w:gridSpan w:val="3"/>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2021 Equity Incentive Plan</w:t>
              </w:r>
            </w:hyperlink>
          </w:p>
        </w:tc>
        <w:tc>
          <w:tcPr>
            <w:tcW w:w="14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Form of Performance Stock Unit Agreement under</w:t>
            </w:r>
          </w:p>
        </w:tc>
        <w:tc>
          <w:tcPr>
            <w:tcW w:w="8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2021 Equity Incentive Plan</w:t>
            </w:r>
          </w:p>
        </w:tc>
        <w:tc>
          <w:tcPr>
            <w:tcW w:w="14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Legacy Sonder 2019 Equity Incentive Plan</w:t>
              </w:r>
            </w:hyperlink>
          </w:p>
        </w:tc>
        <w:tc>
          <w:tcPr>
            <w:tcW w:w="600" w:type="dxa"/>
            <w:vAlign w:val="bottom"/>
            <w:gridSpan w:val="6"/>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of Option Agreement under Legacy Sonder</w:t>
              </w:r>
            </w:hyperlink>
          </w:p>
        </w:tc>
        <w:tc>
          <w:tcPr>
            <w:tcW w:w="80" w:type="dxa"/>
            <w:vAlign w:val="bottom"/>
            <w:gridSpan w:val="3"/>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2019 Equity Incentive Plan</w:t>
              </w:r>
            </w:hyperlink>
          </w:p>
        </w:tc>
        <w:tc>
          <w:tcPr>
            <w:tcW w:w="14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Legacy Sonder Stock Option Plan</w:t>
              </w:r>
            </w:hyperlink>
          </w:p>
        </w:tc>
        <w:tc>
          <w:tcPr>
            <w:tcW w:w="1040" w:type="dxa"/>
            <w:vAlign w:val="bottom"/>
            <w:gridSpan w:val="9"/>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Sonder  Holdings  Inc.  2023  Inducement  Equity</w:t>
              </w:r>
            </w:hyperlink>
          </w:p>
        </w:tc>
        <w:tc>
          <w:tcPr>
            <w:tcW w:w="80" w:type="dxa"/>
            <w:vAlign w:val="bottom"/>
            <w:gridSpan w:val="3"/>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2023</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Incentive Plan</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9"/>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Amendment No. 1 to Sonder Holdings Inc. 2023</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2023</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Inducement Equity Incentive Plan</w:t>
              </w:r>
            </w:hyperlink>
          </w:p>
        </w:tc>
        <w:tc>
          <w:tcPr>
            <w:tcW w:w="940" w:type="dxa"/>
            <w:vAlign w:val="bottom"/>
            <w:tcBorders>
              <w:top w:val="single" w:sz="8" w:color="0000FF"/>
            </w:tcBorders>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6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Form of Option Award Agreement under 2023</w:t>
              </w:r>
            </w:hyperlink>
          </w:p>
        </w:tc>
        <w:tc>
          <w:tcPr>
            <w:tcW w:w="80" w:type="dxa"/>
            <w:vAlign w:val="bottom"/>
            <w:gridSpan w:val="3"/>
          </w:tcPr>
          <w:p>
            <w:pPr>
              <w:spacing w:after="0"/>
              <w:rPr>
                <w:sz w:val="23"/>
                <w:szCs w:val="2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2023</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Inducement Equity Incentive Plan</w:t>
              </w:r>
            </w:hyperlink>
          </w:p>
        </w:tc>
        <w:tc>
          <w:tcPr>
            <w:tcW w:w="1040" w:type="dxa"/>
            <w:vAlign w:val="bottom"/>
            <w:gridSpan w:val="9"/>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Form of Restricted Stock Unit Agreement under</w:t>
              </w:r>
            </w:hyperlink>
          </w:p>
        </w:tc>
        <w:tc>
          <w:tcPr>
            <w:tcW w:w="80" w:type="dxa"/>
            <w:vAlign w:val="bottom"/>
            <w:gridSpan w:val="3"/>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2023</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2023 Inducement Equity Incentive Plan</w:t>
              </w:r>
            </w:hyperlink>
          </w:p>
        </w:tc>
        <w:tc>
          <w:tcPr>
            <w:tcW w:w="78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Key Executive Change in Control and Severance</w:t>
              </w:r>
            </w:hyperlink>
          </w:p>
        </w:tc>
        <w:tc>
          <w:tcPr>
            <w:tcW w:w="80" w:type="dxa"/>
            <w:vAlign w:val="bottom"/>
            <w:gridSpan w:val="3"/>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18, 2021</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3"/>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Plan and related forms of agreement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78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Filed or Furnished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26035</wp:posOffset>
            </wp:positionV>
            <wp:extent cx="97663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9680" w:space="320"/>
            <w:col w:w="1040"/>
          </w:cols>
          <w:pgMar w:left="300" w:top="116" w:right="5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4"/>
          </w:tcPr>
          <w:p>
            <w:pPr>
              <w:ind w:left="11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r>
      <w:tr>
        <w:trPr>
          <w:trHeight w:val="32"/>
        </w:trPr>
        <w:tc>
          <w:tcPr>
            <w:tcW w:w="12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0"/>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880" w:type="dxa"/>
            <w:vAlign w:val="bottom"/>
          </w:tcPr>
          <w:p>
            <w:pPr>
              <w:spacing w:after="0"/>
              <w:rPr>
                <w:sz w:val="24"/>
                <w:szCs w:val="24"/>
                <w:color w:val="auto"/>
              </w:rPr>
            </w:pPr>
          </w:p>
        </w:tc>
        <w:tc>
          <w:tcPr>
            <w:tcW w:w="2160" w:type="dxa"/>
            <w:vAlign w:val="bottom"/>
            <w:gridSpan w:val="13"/>
          </w:tcPr>
          <w:p>
            <w:pPr>
              <w:ind w:left="40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File No.</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2023  Key  Executive  Change  in  Control  and</w:t>
              </w:r>
            </w:hyperlink>
          </w:p>
        </w:tc>
        <w:tc>
          <w:tcPr>
            <w:tcW w:w="80" w:type="dxa"/>
            <w:vAlign w:val="bottom"/>
            <w:gridSpan w:val="3"/>
          </w:tcPr>
          <w:p>
            <w:pPr>
              <w:spacing w:after="0"/>
              <w:rPr>
                <w:sz w:val="13"/>
                <w:szCs w:val="13"/>
                <w:color w:val="auto"/>
              </w:rPr>
            </w:pPr>
          </w:p>
        </w:tc>
        <w:tc>
          <w:tcPr>
            <w:tcW w:w="840" w:type="dxa"/>
            <w:vAlign w:val="bottom"/>
            <w:gridSpan w:val="2"/>
          </w:tcPr>
          <w:p>
            <w:pPr>
              <w:jc w:val="center"/>
              <w:ind w:right="60"/>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3"/>
                <w:szCs w:val="13"/>
                <w:color w:val="auto"/>
              </w:rPr>
            </w:pPr>
          </w:p>
        </w:tc>
        <w:tc>
          <w:tcPr>
            <w:tcW w:w="13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3"/>
                <w:szCs w:val="13"/>
                <w:color w:val="auto"/>
              </w:rPr>
            </w:pPr>
          </w:p>
        </w:tc>
        <w:tc>
          <w:tcPr>
            <w:tcW w:w="15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September 12, 2023</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Severance Plan</w:t>
              </w:r>
            </w:hyperlink>
          </w:p>
        </w:tc>
        <w:tc>
          <w:tcPr>
            <w:tcW w:w="216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2021 Employee Stock Purchase Plan</w:t>
              </w:r>
            </w:hyperlink>
          </w:p>
        </w:tc>
        <w:tc>
          <w:tcPr>
            <w:tcW w:w="940" w:type="dxa"/>
            <w:vAlign w:val="bottom"/>
            <w:gridSpan w:val="8"/>
          </w:tcPr>
          <w:p>
            <w:pPr>
              <w:spacing w:after="0"/>
              <w:rPr>
                <w:sz w:val="16"/>
                <w:szCs w:val="16"/>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26, 2021</w:t>
            </w: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Offer Letter from Sonder Holdings Inc. to Francis</w:t>
              </w:r>
            </w:hyperlink>
          </w:p>
        </w:tc>
        <w:tc>
          <w:tcPr>
            <w:tcW w:w="60" w:type="dxa"/>
            <w:vAlign w:val="bottom"/>
            <w:gridSpan w:val="2"/>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17, 2021</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Borders>
              <w:bottom w:val="single" w:sz="8" w:color="0000FF"/>
            </w:tcBorders>
            <w:gridSpan w:val="6"/>
          </w:tcPr>
          <w:p>
            <w:pPr>
              <w:spacing w:after="0" w:line="150" w:lineRule="exact"/>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Davidson, dated September 14, 2021</w:t>
              </w:r>
            </w:hyperlink>
          </w:p>
        </w:tc>
        <w:tc>
          <w:tcPr>
            <w:tcW w:w="94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Agreement  between  Dominique  Bourgault  and</w:t>
              </w:r>
            </w:hyperlink>
          </w:p>
        </w:tc>
        <w:tc>
          <w:tcPr>
            <w:tcW w:w="80" w:type="dxa"/>
            <w:vAlign w:val="bottom"/>
            <w:gridSpan w:val="3"/>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10, 2023</w:t>
            </w: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Sonder USA Inc., dated February 23, 2023</w:t>
              </w:r>
            </w:hyperlink>
          </w:p>
        </w:tc>
        <w:tc>
          <w:tcPr>
            <w:tcW w:w="60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Employment Agreement by and between Sonder</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USA Inc. and Martin Picard</w:t>
              </w:r>
            </w:hyperlink>
          </w:p>
        </w:tc>
        <w:tc>
          <w:tcPr>
            <w:tcW w:w="1340" w:type="dxa"/>
            <w:vAlign w:val="bottom"/>
            <w:tcBorders>
              <w:top w:val="single" w:sz="8" w:color="0000FF"/>
            </w:tcBorders>
            <w:gridSpan w:val="7"/>
          </w:tcPr>
          <w:p>
            <w:pPr>
              <w:spacing w:after="0"/>
              <w:rPr>
                <w:sz w:val="13"/>
                <w:szCs w:val="13"/>
                <w:color w:val="auto"/>
              </w:rPr>
            </w:pPr>
          </w:p>
        </w:tc>
        <w:tc>
          <w:tcPr>
            <w:tcW w:w="1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Offer  Letter  between  Sonder  USA  Inc.  and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Katherine Potter dated August 21, 2023</w:t>
            </w:r>
          </w:p>
        </w:tc>
        <w:tc>
          <w:tcPr>
            <w:tcW w:w="680" w:type="dxa"/>
            <w:vAlign w:val="bottom"/>
            <w:tcBorders>
              <w:top w:val="single" w:sz="8" w:color="0000FF"/>
            </w:tcBorders>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Offer Letter between Sonder USA Inc. and Michael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Hughes dated January 14, 2025</w:t>
            </w:r>
          </w:p>
        </w:tc>
        <w:tc>
          <w:tcPr>
            <w:tcW w:w="1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Sonder  Holdings  Inc.  Amended  and  Restated</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Outside Director Compensation Policy</w:t>
            </w:r>
          </w:p>
        </w:tc>
        <w:tc>
          <w:tcPr>
            <w:tcW w:w="1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Form of Indemnification Agreement</w:t>
              </w:r>
            </w:hyperlink>
          </w:p>
        </w:tc>
        <w:tc>
          <w:tcPr>
            <w:tcW w:w="120" w:type="dxa"/>
            <w:vAlign w:val="bottom"/>
            <w:tcBorders>
              <w:top w:val="single" w:sz="8" w:color="0000FF"/>
            </w:tcBorders>
            <w:gridSpan w:val="2"/>
          </w:tcPr>
          <w:p>
            <w:pPr>
              <w:spacing w:after="0"/>
              <w:rPr>
                <w:sz w:val="20"/>
                <w:szCs w:val="20"/>
                <w:color w:val="auto"/>
              </w:rPr>
            </w:pPr>
          </w:p>
        </w:tc>
        <w:tc>
          <w:tcPr>
            <w:tcW w:w="840" w:type="dxa"/>
            <w:vAlign w:val="bottom"/>
            <w:gridSpan w:val="7"/>
          </w:tcPr>
          <w:p>
            <w:pPr>
              <w:spacing w:after="0"/>
              <w:rPr>
                <w:sz w:val="20"/>
                <w:szCs w:val="20"/>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24, 2022</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Note  and  Warrant  Purchase  Agreement,  dated</w:t>
              </w:r>
            </w:hyperlink>
          </w:p>
        </w:tc>
        <w:tc>
          <w:tcPr>
            <w:tcW w:w="60" w:type="dxa"/>
            <w:vAlign w:val="bottom"/>
            <w:gridSpan w:val="2"/>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333-257726</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December 13, 2021</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December  10,  2021,  by  and  among  Sonder</w:t>
              </w:r>
            </w:hyperlink>
          </w:p>
        </w:tc>
        <w:tc>
          <w:tcPr>
            <w:tcW w:w="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Holdings Inc., BlackRock Financial Management,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Inc. - Fixed Income Group, on behalf of funds and</w:t>
              </w:r>
            </w:hyperlink>
          </w:p>
        </w:tc>
        <w:tc>
          <w:tcPr>
            <w:tcW w:w="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accounts   under   management   and   Senator</w:t>
              </w:r>
            </w:hyperlink>
          </w:p>
        </w:tc>
        <w:tc>
          <w:tcPr>
            <w:tcW w:w="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Investment Group L.P.</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Omnibus Amendment, dated as of December 21,</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001-39907</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16, 2023</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2022, by and among Sonder Holdings Inc., Sonder</w:t>
              </w:r>
            </w:hyperlink>
          </w:p>
        </w:tc>
        <w:tc>
          <w:tcPr>
            <w:tcW w:w="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Holdings  LLC,  Sonder  USA  Inc.,  Sonder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 w:lineRule="exact"/>
        <w:rPr>
          <w:sz w:val="20"/>
          <w:szCs w:val="20"/>
          <w:color w:val="auto"/>
        </w:rPr>
      </w:pPr>
    </w:p>
    <w:p>
      <w:pPr>
        <w:ind w:left="1220"/>
        <w:spacing w:after="0"/>
        <w:tabs>
          <w:tab w:leader="none" w:pos="1960" w:val="left"/>
          <w:tab w:leader="none" w:pos="2340" w:val="left"/>
          <w:tab w:leader="none" w:pos="2720" w:val="left"/>
          <w:tab w:leader="none" w:pos="3020" w:val="left"/>
          <w:tab w:leader="none" w:pos="3540" w:val="left"/>
          <w:tab w:leader="none" w:pos="39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4"/>
          <w:szCs w:val="14"/>
          <w:u w:val="single" w:color="auto"/>
          <w:color w:val="0000FF"/>
        </w:rPr>
        <w:t>Hospitality</w:t>
        <w:tab/>
        <w:t>USA</w:t>
        <w:tab/>
        <w:t>Inc.,</w:t>
        <w:tab/>
        <w:t>and</w:t>
        <w:tab/>
        <w:t>Sonder</w:t>
        <w:tab/>
        <w:t>USA,</w:t>
      </w:r>
      <w:r>
        <w:rPr>
          <w:sz w:val="20"/>
          <w:szCs w:val="20"/>
          <w:color w:val="auto"/>
        </w:rPr>
        <w:tab/>
      </w:r>
      <w:hyperlink r:id="rId224">
        <w:r>
          <w:rPr>
            <w:rFonts w:ascii="Times New Roman" w:cs="Times New Roman" w:eastAsia="Times New Roman" w:hAnsi="Times New Roman"/>
            <w:sz w:val="13"/>
            <w:szCs w:val="13"/>
            <w:u w:val="single" w:color="auto"/>
            <w:color w:val="0000FF"/>
          </w:rPr>
          <w:t>the</w:t>
        </w:r>
      </w:hyperlink>
    </w:p>
    <w:p>
      <w:pPr>
        <w:spacing w:after="0" w:line="23" w:lineRule="exact"/>
        <w:rPr>
          <w:sz w:val="20"/>
          <w:szCs w:val="20"/>
          <w:color w:val="auto"/>
        </w:rPr>
      </w:pPr>
    </w:p>
    <w:p>
      <w:pPr>
        <w:ind w:left="1220"/>
        <w:spacing w:after="0"/>
        <w:rPr>
          <w:rFonts w:ascii="Times New Roman" w:cs="Times New Roman" w:eastAsia="Times New Roman" w:hAnsi="Times New Roman"/>
          <w:sz w:val="14"/>
          <w:szCs w:val="14"/>
          <w:u w:val="single" w:color="auto"/>
          <w:color w:val="0000FF"/>
        </w:rPr>
      </w:pPr>
      <w:hyperlink r:id="rId224">
        <w:r>
          <w:rPr>
            <w:rFonts w:ascii="Times New Roman" w:cs="Times New Roman" w:eastAsia="Times New Roman" w:hAnsi="Times New Roman"/>
            <w:sz w:val="14"/>
            <w:szCs w:val="14"/>
            <w:u w:val="single" w:color="auto"/>
            <w:color w:val="0000FF"/>
          </w:rPr>
          <w:t>guarantors party thereto, the investors listed on the</w:t>
        </w:r>
      </w:hyperlink>
    </w:p>
    <w:p>
      <w:pPr>
        <w:spacing w:after="0" w:line="19" w:lineRule="exact"/>
        <w:rPr>
          <w:sz w:val="20"/>
          <w:szCs w:val="20"/>
          <w:color w:val="auto"/>
        </w:rPr>
      </w:pPr>
    </w:p>
    <w:p>
      <w:pPr>
        <w:ind w:left="1220"/>
        <w:spacing w:after="0"/>
        <w:rPr>
          <w:rFonts w:ascii="Times New Roman" w:cs="Times New Roman" w:eastAsia="Times New Roman" w:hAnsi="Times New Roman"/>
          <w:sz w:val="14"/>
          <w:szCs w:val="14"/>
          <w:u w:val="single" w:color="auto"/>
          <w:color w:val="0000FF"/>
        </w:rPr>
      </w:pPr>
      <w:hyperlink r:id="rId224">
        <w:r>
          <w:rPr>
            <w:rFonts w:ascii="Times New Roman" w:cs="Times New Roman" w:eastAsia="Times New Roman" w:hAnsi="Times New Roman"/>
            <w:sz w:val="14"/>
            <w:szCs w:val="14"/>
            <w:u w:val="single" w:color="auto"/>
            <w:color w:val="0000FF"/>
          </w:rPr>
          <w:t>signature pages thereto, and Alter Domus (US)</w:t>
        </w:r>
      </w:hyperlink>
    </w:p>
    <w:p>
      <w:pPr>
        <w:spacing w:after="0" w:line="9" w:lineRule="exact"/>
        <w:rPr>
          <w:sz w:val="20"/>
          <w:szCs w:val="20"/>
          <w:color w:val="auto"/>
        </w:rPr>
      </w:pPr>
    </w:p>
    <w:p>
      <w:pPr>
        <w:ind w:left="1220"/>
        <w:spacing w:after="0"/>
        <w:rPr>
          <w:rFonts w:ascii="Times New Roman" w:cs="Times New Roman" w:eastAsia="Times New Roman" w:hAnsi="Times New Roman"/>
          <w:sz w:val="14"/>
          <w:szCs w:val="14"/>
          <w:u w:val="single" w:color="auto"/>
          <w:color w:val="0000FF"/>
        </w:rPr>
      </w:pPr>
      <w:hyperlink r:id="rId224">
        <w:r>
          <w:rPr>
            <w:rFonts w:ascii="Times New Roman" w:cs="Times New Roman" w:eastAsia="Times New Roman" w:hAnsi="Times New Roman"/>
            <w:sz w:val="14"/>
            <w:szCs w:val="14"/>
            <w:u w:val="single" w:color="auto"/>
            <w:color w:val="0000FF"/>
          </w:rPr>
          <w:t>LLC, as collateral agent</w:t>
        </w:r>
      </w:hyperlink>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Filed or Furnished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26035</wp:posOffset>
            </wp:positionV>
            <wp:extent cx="9766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9680" w:space="320"/>
            <w:col w:w="1040"/>
          </w:cols>
          <w:pgMar w:left="300" w:top="116" w:right="5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Filed or Furnished</w:t>
            </w:r>
          </w:p>
        </w:tc>
        <w:tc>
          <w:tcPr>
            <w:tcW w:w="0" w:type="dxa"/>
            <w:vAlign w:val="bottom"/>
          </w:tcPr>
          <w:p>
            <w:pPr>
              <w:spacing w:after="0"/>
              <w:rPr>
                <w:sz w:val="1"/>
                <w:szCs w:val="1"/>
                <w:color w:val="auto"/>
              </w:rPr>
            </w:pPr>
          </w:p>
        </w:tc>
      </w:tr>
      <w:tr>
        <w:trPr>
          <w:trHeight w:val="167"/>
        </w:trPr>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3040" w:type="dxa"/>
            <w:vAlign w:val="bottom"/>
            <w:gridSpan w:val="7"/>
            <w:vMerge w:val="restart"/>
          </w:tcPr>
          <w:p>
            <w:pPr>
              <w:ind w:left="128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10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File No.</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Exhibit No.</w:t>
            </w:r>
          </w:p>
        </w:tc>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Filing Date</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gridSpan w:val="3"/>
            <w:vMerge w:val="continue"/>
          </w:tcPr>
          <w:p>
            <w:pPr>
              <w:spacing w:after="0"/>
              <w:rPr>
                <w:sz w:val="16"/>
                <w:szCs w:val="16"/>
                <w:color w:val="auto"/>
              </w:rPr>
            </w:pPr>
          </w:p>
        </w:tc>
        <w:tc>
          <w:tcPr>
            <w:tcW w:w="3040" w:type="dxa"/>
            <w:vAlign w:val="bottom"/>
            <w:gridSpan w:val="7"/>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Second  Omnibus  Amendment,  dated  as  of</w:t>
              </w:r>
            </w:hyperlink>
          </w:p>
        </w:tc>
        <w:tc>
          <w:tcPr>
            <w:tcW w:w="80" w:type="dxa"/>
            <w:vAlign w:val="bottom"/>
            <w:gridSpan w:val="2"/>
          </w:tcPr>
          <w:p>
            <w:pPr>
              <w:spacing w:after="0"/>
              <w:rPr>
                <w:sz w:val="13"/>
                <w:szCs w:val="13"/>
                <w:color w:val="auto"/>
              </w:rPr>
            </w:pPr>
          </w:p>
        </w:tc>
        <w:tc>
          <w:tcPr>
            <w:tcW w:w="840" w:type="dxa"/>
            <w:vAlign w:val="bottom"/>
            <w:gridSpan w:val="2"/>
          </w:tcPr>
          <w:p>
            <w:pPr>
              <w:jc w:val="center"/>
              <w:ind w:right="60"/>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color w:val="auto"/>
              </w:rPr>
              <w:t>November 9, 2023</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November 6, 2023, to Note and Warrant Purchase</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Agreement by and among Sonder Holdings Inc.,</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Sonder  Holdings  LLC,  Sonder  USA  Inc.,  and</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Sonder Hospitality USA Inc., the guarantors party</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thereto,  the  investors  listed  therein,  and  Alter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4"/>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Domus (US) LLC, as collateral agent</w:t>
              </w:r>
            </w:hyperlink>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Waiver, Forbearance and Third Amendment, dated</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June 11, 2024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as  of  June  10,  2024,  by  and  among  Sonder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Holdings Inc., Sonder Holdings LLC, Sonder USA</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Inc.,  and  Sonder  Hospitality  USA  Inc.,  the</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guarantors party thereto, the investors listed on the</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line="150"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signature pages thereto, and Alter Domus (US)</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4"/>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LLC, as collateral agent</w:t>
              </w:r>
            </w:hyperlink>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Fourth Amendment to Note and Purchase Warrant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15, 2024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Agreement, dated as of July 12, 2024, by and</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among  Sonder  Holdings  Inc.,  Sonder  Holdings</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LLC, Sonder USA Inc., and Sonder Hospitality</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USA  Inc.,  the  guarantors  party  thereto,  the</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investors listed on the signature pages thereto, and</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Alter Domus (US) LLC, as collateral agent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Fifth Amendment to Note and Purchase Warrant</w:t>
              </w:r>
            </w:hyperlink>
          </w:p>
        </w:tc>
        <w:tc>
          <w:tcPr>
            <w:tcW w:w="80" w:type="dxa"/>
            <w:vAlign w:val="bottom"/>
            <w:gridSpan w:val="2"/>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August 19, 2024</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Agreement, dated as of August 13, 2024, by and</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among  Sonder  Holdings  Inc.,  Sonder  Holdings</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LLC, Sonder USA Inc., and Sonder Hospitality</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USA  Inc.,  the  guarantors  party  thereto,  the</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investors listed on the signature pages thereto, and</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Alter Domus (US) LLC, as collateral agent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Waiver, Consent and Sixth Amendment to Note</w:t>
              </w:r>
            </w:hyperlink>
          </w:p>
        </w:tc>
        <w:tc>
          <w:tcPr>
            <w:tcW w:w="80" w:type="dxa"/>
            <w:vAlign w:val="bottom"/>
            <w:gridSpan w:val="2"/>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14, 2025</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7"/>
          </w:tcPr>
          <w:p>
            <w:pPr>
              <w:spacing w:after="0"/>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Purchase Agreement dated as of April 11, 2025, by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and among Sonder Holdings Inc., its subsidiaries</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220"/>
        <w:spacing w:after="0"/>
        <w:rPr>
          <w:rFonts w:ascii="Times New Roman" w:cs="Times New Roman" w:eastAsia="Times New Roman" w:hAnsi="Times New Roman"/>
          <w:sz w:val="14"/>
          <w:szCs w:val="14"/>
          <w:u w:val="single" w:color="auto"/>
          <w:color w:val="0000FF"/>
        </w:rPr>
      </w:pPr>
      <w:hyperlink r:id="rId231">
        <w:r>
          <w:rPr>
            <w:rFonts w:ascii="Times New Roman" w:cs="Times New Roman" w:eastAsia="Times New Roman" w:hAnsi="Times New Roman"/>
            <w:sz w:val="14"/>
            <w:szCs w:val="14"/>
            <w:u w:val="single" w:color="auto"/>
            <w:color w:val="0000FF"/>
          </w:rPr>
          <w:t>party thereto, the investors party thereto and Alter</w:t>
        </w:r>
      </w:hyperlink>
    </w:p>
    <w:p>
      <w:pPr>
        <w:spacing w:after="0" w:line="23" w:lineRule="exact"/>
        <w:rPr>
          <w:sz w:val="20"/>
          <w:szCs w:val="20"/>
          <w:color w:val="auto"/>
        </w:rPr>
      </w:pPr>
    </w:p>
    <w:p>
      <w:pPr>
        <w:ind w:left="1220"/>
        <w:spacing w:after="0"/>
        <w:rPr>
          <w:rFonts w:ascii="Times New Roman" w:cs="Times New Roman" w:eastAsia="Times New Roman" w:hAnsi="Times New Roman"/>
          <w:sz w:val="14"/>
          <w:szCs w:val="14"/>
          <w:u w:val="single" w:color="auto"/>
          <w:color w:val="0000FF"/>
        </w:rPr>
      </w:pPr>
      <w:hyperlink r:id="rId231">
        <w:r>
          <w:rPr>
            <w:rFonts w:ascii="Times New Roman" w:cs="Times New Roman" w:eastAsia="Times New Roman" w:hAnsi="Times New Roman"/>
            <w:sz w:val="14"/>
            <w:szCs w:val="14"/>
            <w:u w:val="single" w:color="auto"/>
            <w:color w:val="0000FF"/>
          </w:rPr>
          <w:t>Domus (US) LLC</w:t>
        </w:r>
      </w:hyperlink>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Filed or Furnished</w:t>
            </w:r>
          </w:p>
        </w:tc>
        <w:tc>
          <w:tcPr>
            <w:tcW w:w="0" w:type="dxa"/>
            <w:vAlign w:val="bottom"/>
          </w:tcPr>
          <w:p>
            <w:pPr>
              <w:spacing w:after="0"/>
              <w:rPr>
                <w:sz w:val="1"/>
                <w:szCs w:val="1"/>
                <w:color w:val="auto"/>
              </w:rPr>
            </w:pPr>
          </w:p>
        </w:tc>
      </w:tr>
      <w:tr>
        <w:trPr>
          <w:trHeight w:val="167"/>
        </w:trPr>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560" w:type="dxa"/>
            <w:vAlign w:val="bottom"/>
          </w:tcPr>
          <w:p>
            <w:pPr>
              <w:spacing w:after="0"/>
              <w:rPr>
                <w:sz w:val="14"/>
                <w:szCs w:val="14"/>
                <w:color w:val="auto"/>
              </w:rPr>
            </w:pPr>
          </w:p>
        </w:tc>
        <w:tc>
          <w:tcPr>
            <w:tcW w:w="2480" w:type="dxa"/>
            <w:vAlign w:val="bottom"/>
            <w:gridSpan w:val="10"/>
            <w:vMerge w:val="restart"/>
          </w:tcPr>
          <w:p>
            <w:pPr>
              <w:ind w:left="72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10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File No.</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Exhibit No.</w:t>
            </w:r>
          </w:p>
        </w:tc>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Filing Date</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10"/>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Loan  and  Security  Agreement  dated  as  of</w:t>
              </w:r>
            </w:hyperlink>
          </w:p>
        </w:tc>
        <w:tc>
          <w:tcPr>
            <w:tcW w:w="80" w:type="dxa"/>
            <w:vAlign w:val="bottom"/>
            <w:gridSpan w:val="2"/>
          </w:tcPr>
          <w:p>
            <w:pPr>
              <w:spacing w:after="0"/>
              <w:rPr>
                <w:sz w:val="13"/>
                <w:szCs w:val="13"/>
                <w:color w:val="auto"/>
              </w:rPr>
            </w:pPr>
          </w:p>
        </w:tc>
        <w:tc>
          <w:tcPr>
            <w:tcW w:w="84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ind w:left="369"/>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line="150" w:lineRule="exact"/>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color w:val="auto"/>
              </w:rPr>
              <w:t>March 16, 2023</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December 21, 2022, between Silicon Valley Bank</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Borders>
              <w:bottom w:val="single" w:sz="8" w:color="0000FF"/>
            </w:tcBorders>
            <w:gridSpan w:val="3"/>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and the Borrowers listed on Schedule I thereto</w:t>
              </w:r>
            </w:hyperlink>
          </w:p>
        </w:tc>
        <w:tc>
          <w:tcPr>
            <w:tcW w:w="400" w:type="dxa"/>
            <w:vAlign w:val="bottom"/>
            <w:gridSpan w:val="8"/>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First Amendment to Loan and Security Agreement,</w:t>
              </w:r>
            </w:hyperlink>
          </w:p>
        </w:tc>
        <w:tc>
          <w:tcPr>
            <w:tcW w:w="80" w:type="dxa"/>
            <w:vAlign w:val="bottom"/>
            <w:gridSpan w:val="2"/>
          </w:tcPr>
          <w:p>
            <w:pPr>
              <w:spacing w:after="0"/>
              <w:rPr>
                <w:sz w:val="21"/>
                <w:szCs w:val="21"/>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1"/>
                <w:szCs w:val="21"/>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May 3, 2023</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dated as of April 28, 2023, by and among Sonder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Holdings Inc., the other borrowers from time to</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time  party  thereto  and  Silicon  Valley  Bank,  a</w:t>
              </w:r>
            </w:hyperlink>
          </w:p>
        </w:tc>
        <w:tc>
          <w:tcPr>
            <w:tcW w:w="6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division of First-Citizens Bank &amp; Trust Company</w:t>
              </w:r>
            </w:hyperlink>
          </w:p>
        </w:tc>
        <w:tc>
          <w:tcPr>
            <w:tcW w:w="22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Second  Amendment  to  Loan  and  Security</w:t>
              </w:r>
            </w:hyperlink>
          </w:p>
        </w:tc>
        <w:tc>
          <w:tcPr>
            <w:tcW w:w="80" w:type="dxa"/>
            <w:vAlign w:val="bottom"/>
            <w:gridSpan w:val="2"/>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November 9, 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Agreement, dated as of November 6, 2023, by and</w:t>
              </w:r>
            </w:hyperlink>
          </w:p>
        </w:tc>
        <w:tc>
          <w:tcPr>
            <w:tcW w:w="4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among Sonder Holdings Inc., the other borrowers</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from time to time party thereto and Silicon Valley</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Bank, a division of First-Citizens Bank &amp; Trust</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235">
              <w:r>
                <w:rPr>
                  <w:rFonts w:ascii="Times New Roman" w:cs="Times New Roman" w:eastAsia="Times New Roman" w:hAnsi="Times New Roman"/>
                  <w:sz w:val="14"/>
                  <w:szCs w:val="14"/>
                  <w:color w:val="0000FF"/>
                  <w:w w:val="99"/>
                </w:rPr>
                <w:t>Company</w:t>
              </w:r>
            </w:hyperlink>
          </w:p>
        </w:tc>
        <w:tc>
          <w:tcPr>
            <w:tcW w:w="24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Waiver  and  Third  Amendment  to  Loan  and</w:t>
              </w:r>
            </w:hyperlink>
          </w:p>
        </w:tc>
        <w:tc>
          <w:tcPr>
            <w:tcW w:w="40" w:type="dxa"/>
            <w:vAlign w:val="bottom"/>
            <w:gridSpan w:val="3"/>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June 11, 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Security Agreement, dated as of June 10, 2024, by</w:t>
              </w:r>
            </w:hyperlink>
          </w:p>
        </w:tc>
        <w:tc>
          <w:tcPr>
            <w:tcW w:w="4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line="150"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and  among  Sonder  Holdings  Inc.,  the  other</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borrowers from time to time party thereto and</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Silicon Valley Bank, a division of First-Citizens</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Bank &amp; Trust Company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Fourth  Amendment  to  Loan  and  Security</w:t>
              </w:r>
            </w:hyperlink>
          </w:p>
        </w:tc>
        <w:tc>
          <w:tcPr>
            <w:tcW w:w="80" w:type="dxa"/>
            <w:vAlign w:val="bottom"/>
            <w:gridSpan w:val="5"/>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15, 2024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Agreement, dated as of July 12, 2024, by and</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among Sonder Holdings Inc., the other borrowers</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from time to time party thereto and Silicon Valley</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Bank, a division of First-Citizens Bank &amp; Trust</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237">
              <w:r>
                <w:rPr>
                  <w:rFonts w:ascii="Times New Roman" w:cs="Times New Roman" w:eastAsia="Times New Roman" w:hAnsi="Times New Roman"/>
                  <w:sz w:val="14"/>
                  <w:szCs w:val="14"/>
                  <w:color w:val="0000FF"/>
                  <w:w w:val="99"/>
                </w:rPr>
                <w:t>Company</w:t>
              </w:r>
            </w:hyperlink>
          </w:p>
        </w:tc>
        <w:tc>
          <w:tcPr>
            <w:tcW w:w="24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Fifth Amendment to Loan and Security Agreement,</w:t>
              </w:r>
            </w:hyperlink>
          </w:p>
        </w:tc>
        <w:tc>
          <w:tcPr>
            <w:tcW w:w="80" w:type="dxa"/>
            <w:vAlign w:val="bottom"/>
            <w:gridSpan w:val="5"/>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August 19, 2024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dated as of August 13, 2024, by and among Sonder</w:t>
              </w:r>
            </w:hyperlink>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Holdings Inc., the other borrowers from time to</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time  party  thereto  and  Silicon  Valley  Bank,  a</w:t>
              </w:r>
            </w:hyperlink>
          </w:p>
        </w:tc>
        <w:tc>
          <w:tcPr>
            <w:tcW w:w="6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1"/>
          </w:tcPr>
          <w:p>
            <w:pPr>
              <w:spacing w:after="0"/>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division of First-Citizens Bank &amp; Trust Company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154</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257"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r>
      <w:tr>
        <w:trPr>
          <w:trHeight w:val="32"/>
        </w:trPr>
        <w:tc>
          <w:tcPr>
            <w:tcW w:w="122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0"/>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12"/>
          </w:tcPr>
          <w:p>
            <w:pPr>
              <w:ind w:left="18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Form</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File No.</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Waiver Agreement, dated as of September 26,</w:t>
              </w:r>
            </w:hyperlink>
          </w:p>
        </w:tc>
        <w:tc>
          <w:tcPr>
            <w:tcW w:w="84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ind w:left="369"/>
              <w:spacing w:after="0" w:line="150" w:lineRule="exact"/>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line="150" w:lineRule="exact"/>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13"/>
                <w:szCs w:val="13"/>
                <w:color w:val="auto"/>
              </w:rPr>
            </w:pPr>
          </w:p>
        </w:tc>
        <w:tc>
          <w:tcPr>
            <w:tcW w:w="15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September 26, 2024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2024,  by  and  among  the  Company,  Sonder</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Holdings  LLC,  Sonder  Group  Holdings  LLC,</w:t>
              </w:r>
            </w:hyperlink>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Sonder Technology Inc., Sonder Hospitality USA</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Inc.,  Sonder  USA  Inc.,  Sonder  Hospitality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Holdings LLC, Sonder Partner Co., Sonder Guest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Services LLC and Silicon Valley Bank, a division</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of First-Citizens Bank &amp; Trust Company.</w:t>
              </w:r>
            </w:hyperlink>
          </w:p>
        </w:tc>
        <w:tc>
          <w:tcPr>
            <w:tcW w:w="580" w:type="dxa"/>
            <w:vAlign w:val="bottom"/>
            <w:tcBorders>
              <w:top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Waiver Agreement, dated as of October 28, 2024,</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29, 2024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by and among the Borrowers and Silicon Valley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Bank, a division of First-Citizens Bank &amp; Trust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rPr>
                <w:rFonts w:ascii="Times New Roman" w:cs="Times New Roman" w:eastAsia="Times New Roman" w:hAnsi="Times New Roman"/>
                <w:sz w:val="14"/>
                <w:szCs w:val="14"/>
                <w:color w:val="0000FF"/>
                <w:w w:val="99"/>
              </w:rPr>
            </w:pPr>
            <w:hyperlink r:id="rId242">
              <w:r>
                <w:rPr>
                  <w:rFonts w:ascii="Times New Roman" w:cs="Times New Roman" w:eastAsia="Times New Roman" w:hAnsi="Times New Roman"/>
                  <w:sz w:val="14"/>
                  <w:szCs w:val="14"/>
                  <w:color w:val="0000FF"/>
                  <w:w w:val="99"/>
                </w:rPr>
                <w:t>Company</w:t>
              </w:r>
            </w:hyperlink>
          </w:p>
        </w:tc>
        <w:tc>
          <w:tcPr>
            <w:tcW w:w="2380" w:type="dxa"/>
            <w:vAlign w:val="bottom"/>
            <w:tcBorders>
              <w:top w:val="single" w:sz="8" w:color="0000FF"/>
            </w:tcBorders>
            <w:gridSpan w:val="10"/>
          </w:tcPr>
          <w:p>
            <w:pPr>
              <w:spacing w:after="0"/>
              <w:rPr>
                <w:sz w:val="13"/>
                <w:szCs w:val="13"/>
                <w:color w:val="auto"/>
              </w:rPr>
            </w:pP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Waiver, Consent and Sixth Amendment to Loan</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and Security Agreement, dated as of April 11,</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2025, by and among Sonder Holdings Inc., its 99.1</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104 subsidiaries party thereto and Silicon Valley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Bank, a division of First-Citizens Bank &amp; Trust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w w:val="99"/>
              </w:rPr>
            </w:pPr>
            <w:hyperlink r:id="rId243">
              <w:r>
                <w:rPr>
                  <w:rFonts w:ascii="Times New Roman" w:cs="Times New Roman" w:eastAsia="Times New Roman" w:hAnsi="Times New Roman"/>
                  <w:sz w:val="14"/>
                  <w:szCs w:val="14"/>
                  <w:color w:val="0000FF"/>
                  <w:w w:val="99"/>
                </w:rPr>
                <w:t>Company</w:t>
              </w:r>
            </w:hyperlink>
          </w:p>
        </w:tc>
        <w:tc>
          <w:tcPr>
            <w:tcW w:w="2380" w:type="dxa"/>
            <w:vAlign w:val="bottom"/>
            <w:tcBorders>
              <w:top w:val="single" w:sz="8" w:color="0000FF"/>
            </w:tcBorders>
            <w:gridSpan w:val="10"/>
          </w:tcPr>
          <w:p>
            <w:pPr>
              <w:spacing w:after="0"/>
              <w:rPr>
                <w:sz w:val="13"/>
                <w:szCs w:val="13"/>
                <w:color w:val="auto"/>
              </w:rPr>
            </w:pP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Form of Securities Purchase Agreement</w:t>
              </w:r>
            </w:hyperlink>
          </w:p>
        </w:tc>
        <w:tc>
          <w:tcPr>
            <w:tcW w:w="740" w:type="dxa"/>
            <w:vAlign w:val="bottom"/>
            <w:gridSpan w:val="5"/>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19, 2024</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Form of Securities Purchase Agreement</w:t>
              </w:r>
            </w:hyperlink>
          </w:p>
        </w:tc>
        <w:tc>
          <w:tcPr>
            <w:tcW w:w="760" w:type="dxa"/>
            <w:vAlign w:val="bottom"/>
            <w:gridSpan w:val="6"/>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Form of Voting Support Agreement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Form of Limited Waiver and Consent Agreement</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29, 2024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by and among the Company and the Preferred</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Stockholders party thereto</w:t>
              </w:r>
            </w:hyperlink>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Limited Waiver and Consent Agreement, dated as</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29, 2024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of October 28, 2024, by and among the Company,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the Note Obligors, the Guarantors, the Investors</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party hereto and the Agent</w:t>
              </w:r>
            </w:hyperlink>
          </w:p>
        </w:tc>
        <w:tc>
          <w:tcPr>
            <w:tcW w:w="1420" w:type="dxa"/>
            <w:vAlign w:val="bottom"/>
            <w:tcBorders>
              <w:top w:val="single" w:sz="8" w:color="0000FF"/>
            </w:tcBorders>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License Agreement, dated as of August 13, 2024,</w:t>
              </w:r>
            </w:hyperlink>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color w:val="auto"/>
                <w:w w:val="97"/>
              </w:rPr>
              <w:t>10.5</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19, 2024</w:t>
            </w: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by and between Sonder Holdings Inc. and Marriott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14"/>
          </w:tcPr>
          <w:p>
            <w:pPr>
              <w:spacing w:after="0" w:line="150"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International,   Inc.,   and   Global   Hospitality</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11"/>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Licensing S.À R.L.</w:t>
              </w:r>
            </w:hyperlink>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Insider Trading Policy</w:t>
            </w:r>
          </w:p>
        </w:tc>
        <w:tc>
          <w:tcPr>
            <w:tcW w:w="1760" w:type="dxa"/>
            <w:vAlign w:val="bottom"/>
            <w:gridSpan w:val="11"/>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136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Deloitte &amp; Touche LLP</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7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155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Filed or Furnished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26035</wp:posOffset>
            </wp:positionV>
            <wp:extent cx="9766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1">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9680" w:space="320"/>
            <w:col w:w="1040"/>
          </w:cols>
          <w:pgMar w:left="300" w:top="116" w:right="5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0"/>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Filed or Furnished</w:t>
            </w:r>
          </w:p>
        </w:tc>
        <w:tc>
          <w:tcPr>
            <w:tcW w:w="0" w:type="dxa"/>
            <w:vAlign w:val="bottom"/>
          </w:tcPr>
          <w:p>
            <w:pPr>
              <w:spacing w:after="0"/>
              <w:rPr>
                <w:sz w:val="1"/>
                <w:szCs w:val="1"/>
                <w:color w:val="auto"/>
              </w:rPr>
            </w:pPr>
          </w:p>
        </w:tc>
      </w:tr>
      <w:tr>
        <w:trPr>
          <w:trHeight w:val="167"/>
        </w:trPr>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color w:val="auto"/>
              </w:rPr>
              <w:t>Exhibit</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Form</w:t>
            </w:r>
          </w:p>
        </w:tc>
        <w:tc>
          <w:tcPr>
            <w:tcW w:w="1100" w:type="dxa"/>
            <w:vAlign w:val="bottom"/>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rPr>
              <w:t>File No.</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Exhibit No.</w:t>
            </w:r>
          </w:p>
        </w:tc>
        <w:tc>
          <w:tcPr>
            <w:tcW w:w="1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Filing Date</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gridSpan w:val="7"/>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0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31.1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FF"/>
              </w:rPr>
              <w:t>Certification  of  Principal  Executive  Officer</w:t>
            </w:r>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Pursuant to Rules 13a-14(a) and 15d-14(a) under</w:t>
            </w: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the Securities Exchange Act of 1934, as Adopted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57"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Pursuant to Section 302 of the Sarbanes-Oxley Act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of 2002</w:t>
            </w: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100" w:type="dxa"/>
            <w:vAlign w:val="bottom"/>
            <w:gridSpan w:val="3"/>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Pursuant to Rules 13a-14(a) and 15d-14(a) under</w:t>
            </w:r>
          </w:p>
        </w:tc>
        <w:tc>
          <w:tcPr>
            <w:tcW w:w="8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the Securities Exchange Act of 1934, as Adopted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57"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Pursuant to Section 302 of the Sarbanes-Oxley Act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of 2002</w:t>
            </w: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w:t>
            </w:r>
          </w:p>
        </w:tc>
        <w:tc>
          <w:tcPr>
            <w:tcW w:w="80" w:type="dxa"/>
            <w:vAlign w:val="bottom"/>
            <w:gridSpan w:val="5"/>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Pursuant to 18 U.S.C. Section 1350, as Adopted</w:t>
            </w:r>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Pursuant to Section 906 of the Sarbanes-Oxley Act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of 2002</w:t>
            </w: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w:t>
            </w:r>
          </w:p>
        </w:tc>
        <w:tc>
          <w:tcPr>
            <w:tcW w:w="60" w:type="dxa"/>
            <w:vAlign w:val="bottom"/>
            <w:gridSpan w:val="4"/>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Pursuant to 18 U.S.C. Section 1350, as Adopted</w:t>
            </w:r>
          </w:p>
        </w:tc>
        <w:tc>
          <w:tcPr>
            <w:tcW w:w="8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Pursuant to Section 906 of the Sarbanes-Oxley Act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of 2002</w:t>
            </w:r>
          </w:p>
        </w:tc>
        <w:tc>
          <w:tcPr>
            <w:tcW w:w="10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Compensation  Recovery  Policy  as  adopted  on</w:t>
              </w:r>
            </w:hyperlink>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001-39907</w:t>
            </w:r>
          </w:p>
        </w:tc>
        <w:tc>
          <w:tcPr>
            <w:tcW w:w="1840" w:type="dxa"/>
            <w:vAlign w:val="bottom"/>
            <w:gridSpan w:val="3"/>
          </w:tcPr>
          <w:p>
            <w:pPr>
              <w:jc w:val="right"/>
              <w:ind w:right="469"/>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21"/>
                <w:szCs w:val="2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27, 2024</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Borders>
              <w:top w:val="single" w:sz="8" w:color="0000FF"/>
            </w:tcBorders>
            <w:gridSpan w:val="3"/>
          </w:tcPr>
          <w:p>
            <w:pPr>
              <w:spacing w:after="0"/>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August 25, 2023</w:t>
              </w:r>
            </w:hyperlink>
          </w:p>
        </w:tc>
        <w:tc>
          <w:tcPr>
            <w:tcW w:w="10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Document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Document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20" w:right="7120" w:hanging="1201"/>
        <w:spacing w:after="0" w:line="303" w:lineRule="auto"/>
        <w:tabs>
          <w:tab w:leader="none" w:pos="12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 or arrangement.</w:t>
      </w:r>
    </w:p>
    <w:p>
      <w:pPr>
        <w:spacing w:after="0" w:line="9" w:lineRule="exact"/>
        <w:rPr>
          <w:sz w:val="20"/>
          <w:szCs w:val="20"/>
          <w:color w:val="auto"/>
        </w:rPr>
      </w:pPr>
    </w:p>
    <w:p>
      <w:pPr>
        <w:ind w:left="360" w:right="320" w:hanging="355"/>
        <w:spacing w:after="0" w:line="266" w:lineRule="auto"/>
        <w:tabs>
          <w:tab w:leader="none" w:pos="2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the exhibits of schedules this agreement have been omitted pursuant to Item 601 of Regulation S-K. A copy of any omitted schedule will be furnished to the SEC upon request.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360" w:hanging="355"/>
        <w:spacing w:after="0" w:line="263" w:lineRule="auto"/>
        <w:tabs>
          <w:tab w:leader="none" w:pos="31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1" w:lineRule="exact"/>
        <w:rPr>
          <w:sz w:val="20"/>
          <w:szCs w:val="20"/>
          <w:color w:val="auto"/>
        </w:rPr>
      </w:pPr>
    </w:p>
    <w:p>
      <w:pPr>
        <w:ind w:left="360" w:hanging="355"/>
        <w:spacing w:after="0" w:line="266" w:lineRule="auto"/>
        <w:tabs>
          <w:tab w:leader="none" w:pos="29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because the Company does not believe it is material and is the type that the Company customarily treats as private and confidential. Redacted information is indicated by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SONDER HOLDINGS INC.</w:t>
      </w:r>
    </w:p>
    <w:p>
      <w:pPr>
        <w:spacing w:after="0" w:line="232" w:lineRule="exact"/>
        <w:rPr>
          <w:sz w:val="20"/>
          <w:szCs w:val="20"/>
          <w:color w:val="auto"/>
        </w:rPr>
      </w:pPr>
    </w:p>
    <w:tbl>
      <w:tblPr>
        <w:tblLayout w:type="fixed"/>
        <w:tblInd w:w="680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Michael Hughes</w:t>
            </w:r>
          </w:p>
        </w:tc>
        <w:tc>
          <w:tcPr>
            <w:tcW w:w="0" w:type="dxa"/>
            <w:vAlign w:val="bottom"/>
          </w:tcPr>
          <w:p>
            <w:pPr>
              <w:spacing w:after="0"/>
              <w:rPr>
                <w:sz w:val="1"/>
                <w:szCs w:val="1"/>
                <w:color w:val="auto"/>
              </w:rPr>
            </w:pPr>
          </w:p>
        </w:tc>
      </w:tr>
      <w:tr>
        <w:trPr>
          <w:trHeight w:val="32"/>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0" w:type="dxa"/>
            <w:vAlign w:val="bottom"/>
            <w:vMerge w:val="continue"/>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Hughes</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by the following persons on behalf of the registrant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w:t>
            </w:r>
          </w:p>
        </w:tc>
        <w:tc>
          <w:tcPr>
            <w:tcW w:w="80" w:type="dxa"/>
            <w:vAlign w:val="bottom"/>
          </w:tcPr>
          <w:p>
            <w:pPr>
              <w:spacing w:after="0"/>
              <w:rPr>
                <w:sz w:val="16"/>
                <w:szCs w:val="16"/>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Janice Sears</w:t>
            </w:r>
          </w:p>
        </w:tc>
        <w:tc>
          <w:tcPr>
            <w:tcW w:w="8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 and 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47"/>
        </w:trPr>
        <w:tc>
          <w:tcPr>
            <w:tcW w:w="3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Janice Sears</w:t>
            </w:r>
          </w:p>
        </w:tc>
        <w:tc>
          <w:tcPr>
            <w:tcW w:w="80" w:type="dxa"/>
            <w:vAlign w:val="bottom"/>
            <w:vMerge w:val="continue"/>
          </w:tcPr>
          <w:p>
            <w:pPr>
              <w:spacing w:after="0"/>
              <w:rPr>
                <w:sz w:val="10"/>
                <w:szCs w:val="10"/>
                <w:color w:val="auto"/>
              </w:rPr>
            </w:pPr>
          </w:p>
        </w:tc>
        <w:tc>
          <w:tcPr>
            <w:tcW w:w="53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3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Hughes</w:t>
            </w:r>
          </w:p>
        </w:tc>
        <w:tc>
          <w:tcPr>
            <w:tcW w:w="80" w:type="dxa"/>
            <w:vAlign w:val="bottom"/>
          </w:tcPr>
          <w:p>
            <w:pPr>
              <w:spacing w:after="0"/>
              <w:rPr>
                <w:sz w:val="22"/>
                <w:szCs w:val="22"/>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Hughes</w:t>
            </w:r>
          </w:p>
        </w:tc>
        <w:tc>
          <w:tcPr>
            <w:tcW w:w="80" w:type="dxa"/>
            <w:vAlign w:val="bottom"/>
          </w:tcPr>
          <w:p>
            <w:pPr>
              <w:spacing w:after="0"/>
              <w:rPr>
                <w:sz w:val="15"/>
                <w:szCs w:val="15"/>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Rahul Thumati</w:t>
            </w:r>
          </w:p>
        </w:tc>
        <w:tc>
          <w:tcPr>
            <w:tcW w:w="8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Interim Chief Accounting Officer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47"/>
        </w:trPr>
        <w:tc>
          <w:tcPr>
            <w:tcW w:w="3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Rahul Thumati</w:t>
            </w:r>
          </w:p>
        </w:tc>
        <w:tc>
          <w:tcPr>
            <w:tcW w:w="80" w:type="dxa"/>
            <w:vAlign w:val="bottom"/>
            <w:vMerge w:val="continue"/>
          </w:tcPr>
          <w:p>
            <w:pPr>
              <w:spacing w:after="0"/>
              <w:rPr>
                <w:sz w:val="10"/>
                <w:szCs w:val="10"/>
                <w:color w:val="auto"/>
              </w:rPr>
            </w:pPr>
          </w:p>
        </w:tc>
        <w:tc>
          <w:tcPr>
            <w:tcW w:w="53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3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Sean Aggarwal</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Sean Aggarwal</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Sanjay Banker</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Sanjay Banker</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Michelle Frymire</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Michelle Frymire</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Simon Turner</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Simon Turner</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Frits van Paasschen</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Frits van Paasschen</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Erin Wallace</w:t>
            </w:r>
          </w:p>
        </w:tc>
        <w:tc>
          <w:tcPr>
            <w:tcW w:w="8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23, 2025</w:t>
            </w:r>
          </w:p>
        </w:tc>
        <w:tc>
          <w:tcPr>
            <w:tcW w:w="0" w:type="dxa"/>
            <w:vAlign w:val="bottom"/>
          </w:tcPr>
          <w:p>
            <w:pPr>
              <w:spacing w:after="0"/>
              <w:rPr>
                <w:sz w:val="1"/>
                <w:szCs w:val="1"/>
                <w:color w:val="auto"/>
              </w:rPr>
            </w:pP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Erin Wallace</w:t>
            </w:r>
          </w:p>
        </w:tc>
        <w:tc>
          <w:tcPr>
            <w:tcW w:w="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7"/>
        </w:trPr>
        <w:tc>
          <w:tcPr>
            <w:tcW w:w="3660" w:type="dxa"/>
            <w:vAlign w:val="bottom"/>
          </w:tcPr>
          <w:p>
            <w:pPr>
              <w:spacing w:after="0"/>
              <w:rPr>
                <w:sz w:val="24"/>
                <w:szCs w:val="24"/>
                <w:color w:val="auto"/>
              </w:rPr>
            </w:pPr>
          </w:p>
        </w:tc>
        <w:tc>
          <w:tcPr>
            <w:tcW w:w="5400" w:type="dxa"/>
            <w:vAlign w:val="bottom"/>
            <w:gridSpan w:val="2"/>
          </w:tcPr>
          <w:p>
            <w:pPr>
              <w:jc w:val="right"/>
              <w:ind w:right="3229"/>
              <w:spacing w:after="0"/>
              <w:rPr>
                <w:sz w:val="20"/>
                <w:szCs w:val="20"/>
                <w:color w:val="auto"/>
              </w:rPr>
            </w:pPr>
            <w:r>
              <w:rPr>
                <w:rFonts w:ascii="Times New Roman" w:cs="Times New Roman" w:eastAsia="Times New Roman" w:hAnsi="Times New Roman"/>
                <w:sz w:val="14"/>
                <w:szCs w:val="14"/>
                <w:color w:val="auto"/>
              </w:rPr>
              <w:t>158</w:t>
            </w: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89"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The following description of capital stock of Sonder Holdings Inc.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summarizes certain provisions of our amended and restated certificate of incorporation, as amended (the “</w:t>
      </w:r>
      <w:r>
        <w:rPr>
          <w:rFonts w:ascii="Times New Roman" w:cs="Times New Roman" w:eastAsia="Times New Roman" w:hAnsi="Times New Roman"/>
          <w:sz w:val="14"/>
          <w:szCs w:val="14"/>
          <w:i w:val="1"/>
          <w:iCs w:val="1"/>
          <w:color w:val="auto"/>
        </w:rPr>
        <w:t>Amended and Restated Certificate of Incorporation</w:t>
      </w:r>
      <w:r>
        <w:rPr>
          <w:rFonts w:ascii="Times New Roman" w:cs="Times New Roman" w:eastAsia="Times New Roman" w:hAnsi="Times New Roman"/>
          <w:sz w:val="14"/>
          <w:szCs w:val="14"/>
          <w:color w:val="auto"/>
        </w:rPr>
        <w:t>”), our amended and restated bylaws (the “</w:t>
      </w:r>
      <w:r>
        <w:rPr>
          <w:rFonts w:ascii="Times New Roman" w:cs="Times New Roman" w:eastAsia="Times New Roman" w:hAnsi="Times New Roman"/>
          <w:sz w:val="14"/>
          <w:szCs w:val="14"/>
          <w:i w:val="1"/>
          <w:iCs w:val="1"/>
          <w:color w:val="auto"/>
        </w:rPr>
        <w:t>Amended and Restated Bylaws</w:t>
      </w:r>
      <w:r>
        <w:rPr>
          <w:rFonts w:ascii="Times New Roman" w:cs="Times New Roman" w:eastAsia="Times New Roman" w:hAnsi="Times New Roman"/>
          <w:sz w:val="14"/>
          <w:szCs w:val="14"/>
          <w:color w:val="auto"/>
        </w:rPr>
        <w:t>”), and our Certificate of Designation (as defined below) in effect as of the end of the period covered by this Annual Report on Form 10-K, and reflects the one-for-20 reverse stock split that we effected on September 20, 2023. The description is intended as a summary, and is qualified in its entirety by reference to our Amended and Restated Certificate of Incorporation, our Amended and Restated Bylaws, and our Certificate of Designation, and with respect to the description below of our NPA Warrants (as defined below), by reference to the Form of NPA Warrant, and with respect to the publicly traded warrants, by reference to the Warrant Agreement (as defined below), copies of which have been filed as exhibits to the Annual Report on Form 10-K of which this Exhibit 4.8 is a part, and applicable provisions of Delaware law.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authorized capital stock of the Company is 462,921,255 shares, of which:</w:t>
      </w:r>
    </w:p>
    <w:p>
      <w:pPr>
        <w:spacing w:after="0" w:line="14" w:lineRule="exact"/>
        <w:rPr>
          <w:sz w:val="20"/>
          <w:szCs w:val="20"/>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210,921,255 shares are designated common stock, $0.0001 par value per share (the “</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w:t>
      </w:r>
    </w:p>
    <w:p>
      <w:pPr>
        <w:spacing w:after="0" w:line="1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 shares are designated special voting common stock, $0.0001 par value per share (the “</w:t>
      </w:r>
      <w:r>
        <w:rPr>
          <w:rFonts w:ascii="Times New Roman" w:cs="Times New Roman" w:eastAsia="Times New Roman" w:hAnsi="Times New Roman"/>
          <w:sz w:val="14"/>
          <w:szCs w:val="14"/>
          <w:i w:val="1"/>
          <w:iCs w:val="1"/>
          <w:color w:val="auto"/>
        </w:rPr>
        <w:t>Special Voting Common Stock</w:t>
      </w:r>
      <w:r>
        <w:rPr>
          <w:rFonts w:ascii="Times New Roman" w:cs="Times New Roman" w:eastAsia="Times New Roman" w:hAnsi="Times New Roman"/>
          <w:sz w:val="14"/>
          <w:szCs w:val="14"/>
          <w:color w:val="auto"/>
        </w:rPr>
        <w:t>”);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250,000,000 shares of preferred stock, $0.0001 par value per share (the “</w:t>
      </w:r>
      <w:r>
        <w:rPr>
          <w:rFonts w:ascii="Times New Roman" w:cs="Times New Roman" w:eastAsia="Times New Roman" w:hAnsi="Times New Roman"/>
          <w:sz w:val="14"/>
          <w:szCs w:val="14"/>
          <w:i w:val="1"/>
          <w:iCs w:val="1"/>
          <w:color w:val="auto"/>
        </w:rPr>
        <w:t>Preferred Stock</w:t>
      </w:r>
      <w:r>
        <w:rPr>
          <w:rFonts w:ascii="Times New Roman" w:cs="Times New Roman" w:eastAsia="Times New Roman" w:hAnsi="Times New Roman"/>
          <w:sz w:val="14"/>
          <w:szCs w:val="14"/>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Holders of Common Stock and Special Voting Common Stock are entitled to one vote for each share held as of the record date for the determination of the stockholders entitled to vote on such matters, except as otherwise required by law. The holders of Common Stock and Special Voting Common Stock will at all times vote together as one class on all matters submitted to a vote of stockholders, unless otherwise required by Delaware law or the Amended and Restated Certificate of Incorporation (as it may be amended from time to time). Delaware law could require holders of shares of a class of capital stock to vote separately as a single class in the following circumstances:</w:t>
      </w:r>
    </w:p>
    <w:p>
      <w:pPr>
        <w:spacing w:after="0" w:line="162" w:lineRule="exact"/>
        <w:rPr>
          <w:sz w:val="20"/>
          <w:szCs w:val="20"/>
          <w:color w:val="auto"/>
        </w:rPr>
      </w:pPr>
    </w:p>
    <w:p>
      <w:pPr>
        <w:ind w:left="520" w:hanging="260"/>
        <w:spacing w:after="0" w:line="271" w:lineRule="auto"/>
        <w:tabs>
          <w:tab w:leader="none" w:pos="51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the Amended and Restated Certificate of Incorporation to increase or decrease the par value of a class of the capital stock, then that class would be required to vote separately to approve the proposed amendment; and</w:t>
      </w:r>
    </w:p>
    <w:p>
      <w:pPr>
        <w:spacing w:after="0" w:line="13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the Amended and Restated Certificate of Incorporation in a manner that alters or changes the powers, preferences, or special rights of a class of capital stock in a manner that affected its holders adversely, then that class would be required to vote separately to approve the proposed amendment.</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89"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Subject to the rights of holders of any series of Preferred Stock with respect to the election of directors, the number of directors that constitutes the Board of Directors (the “</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will be fixed solely by resolution adopted by a majority of the Board.</w:t>
      </w:r>
    </w:p>
    <w:p>
      <w:pPr>
        <w:spacing w:after="0" w:line="14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Amended and Restated Certificate of Incorporation provides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p>
    <w:p>
      <w:pPr>
        <w:sectPr>
          <w:pgSz w:w="11900" w:h="16838" w:orient="portrait"/>
          <w:cols w:equalWidth="0" w:num="1">
            <w:col w:w="11280"/>
          </w:cols>
          <w:pgMar w:left="300" w:top="112" w:right="319" w:bottom="1440" w:gutter="0" w:footer="0" w:header="0"/>
        </w:sectPr>
      </w:pPr>
    </w:p>
    <w:bookmarkStart w:id="160" w:name="page161"/>
    <w:bookmarkEnd w:id="160"/>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Subject to preferences that may apply to any shares of Preferred Stock outstanding at the time, the holders of Common Stock will be entitled to receive dividends out of funds legally available if the Board, in its discretion, determines to issue dividends and then only at the times that the Board may determine. Any dividends paid to the holders of shares of Common Stock shall be paid on a pro rata basis. The holders of the Special Voting Common Stock shall not be entitled to receive any dividends out of any assets of the Company.</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Preemptive or Similar Rights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Common Stock is not entitled to preemptive rights, and is not subject to conversion, redemption, or sinking fund provisions except as described below.</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Special Voting Common Stock</w:t>
      </w:r>
    </w:p>
    <w:p>
      <w:pPr>
        <w:spacing w:after="0" w:line="179"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Sonder Canada Inc., a corporation existing under the laws of the province of Québec and a subsidiary of the Company (“</w:t>
      </w:r>
      <w:r>
        <w:rPr>
          <w:rFonts w:ascii="Times New Roman" w:cs="Times New Roman" w:eastAsia="Times New Roman" w:hAnsi="Times New Roman"/>
          <w:sz w:val="14"/>
          <w:szCs w:val="14"/>
          <w:i w:val="1"/>
          <w:iCs w:val="1"/>
          <w:color w:val="auto"/>
        </w:rPr>
        <w:t>Sonder Canada</w:t>
      </w:r>
      <w:r>
        <w:rPr>
          <w:rFonts w:ascii="Times New Roman" w:cs="Times New Roman" w:eastAsia="Times New Roman" w:hAnsi="Times New Roman"/>
          <w:sz w:val="14"/>
          <w:szCs w:val="14"/>
          <w:color w:val="auto"/>
        </w:rPr>
        <w:t>”), has a series of shares that were initially issued in connection with the Business Combination (as defined below), pursuant to Sonder Canada’s Articles of Amendment (as amended and/or restated from time to time, the “</w:t>
      </w:r>
      <w:r>
        <w:rPr>
          <w:rFonts w:ascii="Times New Roman" w:cs="Times New Roman" w:eastAsia="Times New Roman" w:hAnsi="Times New Roman"/>
          <w:sz w:val="14"/>
          <w:szCs w:val="14"/>
          <w:i w:val="1"/>
          <w:iCs w:val="1"/>
          <w:color w:val="auto"/>
        </w:rPr>
        <w:t>Sonder Canada Articles</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i w:val="1"/>
          <w:iCs w:val="1"/>
          <w:color w:val="auto"/>
        </w:rPr>
        <w:t>Canada Exchangeable Common Shares</w:t>
      </w:r>
      <w:r>
        <w:rPr>
          <w:rFonts w:ascii="Times New Roman" w:cs="Times New Roman" w:eastAsia="Times New Roman" w:hAnsi="Times New Roman"/>
          <w:sz w:val="14"/>
          <w:szCs w:val="14"/>
          <w:color w:val="auto"/>
        </w:rPr>
        <w:t>”). Each Canada Exchangeable Common Share may be exchanged for one share of Common Stock in accordance with the terms of the Sonder Canada Articles and that certain Exchange Rights Agreement, dated December 18, 2019 (as amended and/or restated from time to time, the “</w:t>
      </w:r>
      <w:r>
        <w:rPr>
          <w:rFonts w:ascii="Times New Roman" w:cs="Times New Roman" w:eastAsia="Times New Roman" w:hAnsi="Times New Roman"/>
          <w:sz w:val="14"/>
          <w:szCs w:val="14"/>
          <w:i w:val="1"/>
          <w:iCs w:val="1"/>
          <w:color w:val="auto"/>
        </w:rPr>
        <w:t>Exchange Rights Agreement</w:t>
      </w:r>
      <w:r>
        <w:rPr>
          <w:rFonts w:ascii="Times New Roman" w:cs="Times New Roman" w:eastAsia="Times New Roman" w:hAnsi="Times New Roman"/>
          <w:sz w:val="14"/>
          <w:szCs w:val="14"/>
          <w:color w:val="auto"/>
        </w:rPr>
        <w:t>”), by and among the Company, Sonder Canada, Sonder Exchange ULC and the holders of Canada Exchangeable Common Shares, to which the Company has intervened. The Company will automatically redeem, on the date on which any Canada Exchangeable Common Shares held by a holder are redeemed, exchanged or otherwise transferred for Common Stock pursuant to the Sonder Canada Articles or the Exchange Rights Agreement, such number of shares of Special Voting Common Stock held by such holder corresponding to the number of Canada Exchangeable Common Shares then redeemed, exchanged or otherwise transferred (the “</w:t>
      </w:r>
      <w:r>
        <w:rPr>
          <w:rFonts w:ascii="Times New Roman" w:cs="Times New Roman" w:eastAsia="Times New Roman" w:hAnsi="Times New Roman"/>
          <w:sz w:val="14"/>
          <w:szCs w:val="14"/>
          <w:i w:val="1"/>
          <w:iCs w:val="1"/>
          <w:color w:val="auto"/>
        </w:rPr>
        <w:t>Redeemed Shares</w:t>
      </w:r>
      <w:r>
        <w:rPr>
          <w:rFonts w:ascii="Times New Roman" w:cs="Times New Roman" w:eastAsia="Times New Roman" w:hAnsi="Times New Roman"/>
          <w:sz w:val="14"/>
          <w:szCs w:val="14"/>
          <w:color w:val="auto"/>
        </w:rPr>
        <w:t>”) for an amount equal to $0.000001 per share, and such Redeemed Shares may not be reissued by the Company.</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If the Company becomes subject to a liquidation, dissolution, or winding-up, the assets legally available for distribution to the Company’s stockholders would be distributable ratably among the holders of Common Stock and any participating series of Preferred Stock outstanding at that time, subject to prior satisfaction of all outstanding debt and liabilities and the preferential rights of and the payment of liquidation preferences, if any, on any outstanding shares of Preferred Stock. The holders of the Special Voting Common Stock shall not be entitled to receive any distribution of assets of the Company in such event.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91"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The Board is authorized, subject to limitations prescribed by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the stockholders. The Board will be empowered to increase, but not above the total number of authorized shares of Preferred Stock, or decrease the number of shares of any series of Preferred Stock, but not below the number of shares of that series then outstanding, without any further vote or action by the stockholders. The Board will be able to authorize the issuance of Preferred Stock with voting or conversion rights that could adversely impact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Common Stock and the voting and other rights of the holders of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Designation</w:t>
      </w:r>
    </w:p>
    <w:p>
      <w:pPr>
        <w:sectPr>
          <w:pgSz w:w="11900" w:h="16838" w:orient="portrait"/>
          <w:cols w:equalWidth="0" w:num="1">
            <w:col w:w="11280"/>
          </w:cols>
          <w:pgMar w:left="300" w:top="1131" w:right="319" w:bottom="1440" w:gutter="0" w:footer="0" w:header="0"/>
        </w:sectPr>
      </w:pPr>
    </w:p>
    <w:bookmarkStart w:id="161" w:name="page162"/>
    <w:bookmarkEnd w:id="161"/>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Company’s Certificate of Designation of Powers, Preferences and Rights of Series A Convertible Preferred Stock which was file with the Secretary of State of the State of Delaware on August 13, 2024 and subsequently amended on April 11, 2025 (the “</w:t>
      </w:r>
      <w:r>
        <w:rPr>
          <w:rFonts w:ascii="Times New Roman" w:cs="Times New Roman" w:eastAsia="Times New Roman" w:hAnsi="Times New Roman"/>
          <w:sz w:val="14"/>
          <w:szCs w:val="14"/>
          <w:i w:val="1"/>
          <w:iCs w:val="1"/>
          <w:color w:val="auto"/>
        </w:rPr>
        <w:t>Certificate of Designation</w:t>
      </w:r>
      <w:r>
        <w:rPr>
          <w:rFonts w:ascii="Times New Roman" w:cs="Times New Roman" w:eastAsia="Times New Roman" w:hAnsi="Times New Roman"/>
          <w:sz w:val="14"/>
          <w:szCs w:val="14"/>
          <w:color w:val="auto"/>
        </w:rPr>
        <w:t>”) designates 61,280,000 shares of our authorized Preferred Stock as Series A Preferred Stock, and establishes the voting powers, designations, preferences and other rights and qualifications, limitations and restrictions thereof as described below.</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shares of Series A Preferred Stock rank, with respect to dividend rights and rights upon liquidation, dissolution, or winding up of the Company, senior to all classes of Common Stock, Special Voting Common Stock and each other class or series of equity security of the Company which is not expressly senior or on parity with Series A Preferred Stock.</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81"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Holders of Series A Preferred Stock are entitled to receive, when, as and if declared by the Board of the Company, cumulative dividends in cash (subject to certain conditions), at a rate of (a) fifteen percent (15.00%) from August 13, 2024 through August 13, 2025, (b) ten percent (10.00%) from August 14, 2025 through August 13, 2027, and (c) five percent (5.00%) from August 14, 2027 through August 13, 2028 on the sum of (i) the Liquidation Preference (as defined in the Certificate of Designation)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are earnings or funds of the Company legally available for the payment of such dividends or (iii) the Company declares the payment of dividends), until the earlier of: (a) the date that the Company publicly reports that it has realized at least $87 million of free cash flow (representing cash used in operating activities plus cash used in investing activities) over a twelve month period; or (b) August 13, 2028.</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Duration and Conversion</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shares of Series A Preferred Stock have no stated maturity and will remain outstanding indefinitely unless converted into Common Stock. The shares of Series A Preferred Stock are convertible into shares of Common Stock and are not subject to mandatory redemption or conversion.</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 Price</w:t>
      </w:r>
    </w:p>
    <w:p>
      <w:pPr>
        <w:spacing w:after="0" w:line="191"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The shares of Series A Preferred Stock are convertible, at the election of each holder, into shares of Common Stock by providing written notice to the Company. Each share of Series A Preferred Stock is convertible into a number of shares of Common Stock equal to (x) the Liquidation Preference, which is $1.00 per share (as adjusted for any stock dividends, splits, combinations or other similar events on the Common Stock or the Series A Preferred Stock), plus an amount equal to all accumulated and unpaid dividends on such shares (including dividends accrued and unpaid on previously unpaid dividends) divided by (y) the Optional Conversion Price, which is the lower of (i) $1.00 per share (as adjusted for any stock dividends, splits, combinations or other similar events on the Common Stock or the Series A Preferred Stock), and (ii) a ten percent (10%) discount to the lowest daily VWAP (as defined in the Certificate of Designation) of the Common Stock on the principal trading market therefor in the seven (7) trading days prior to the conversion date (the “</w:t>
      </w:r>
      <w:r>
        <w:rPr>
          <w:rFonts w:ascii="Times New Roman" w:cs="Times New Roman" w:eastAsia="Times New Roman" w:hAnsi="Times New Roman"/>
          <w:sz w:val="14"/>
          <w:szCs w:val="14"/>
          <w:i w:val="1"/>
          <w:iCs w:val="1"/>
          <w:color w:val="auto"/>
        </w:rPr>
        <w:t>Optional Conversion Price</w:t>
      </w:r>
      <w:r>
        <w:rPr>
          <w:rFonts w:ascii="Times New Roman" w:cs="Times New Roman" w:eastAsia="Times New Roman" w:hAnsi="Times New Roman"/>
          <w:sz w:val="14"/>
          <w:szCs w:val="14"/>
          <w:color w:val="auto"/>
        </w:rPr>
        <w:t>”); provided that the Optional Conversion Price shall not be less than $0.50.</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 and Issuance Limitations</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The Certificate of Designation provides that the Company cannot effect any conversion of the Series A Preferred Stock, and no holder of Series A Preferred Stock may convert any portion of its Series A Preferred Stock, to the extent that, after giving effect to an attempted conversion, such holder (together with any other person whose beneficial ownership of Common Stock would be aggregated with such holders for purposes of Section 13(d) or Section 16 of the Exchange Act and the applicable rules and regulations of the SEC, including any “group” of which such holder is a member) would beneficially own a number of shares of Common Stock in excess of a beneficial</w:t>
      </w:r>
    </w:p>
    <w:p>
      <w:pPr>
        <w:sectPr>
          <w:pgSz w:w="11900" w:h="16838" w:orient="portrait"/>
          <w:cols w:equalWidth="0" w:num="1">
            <w:col w:w="11280"/>
          </w:cols>
          <w:pgMar w:left="300" w:top="1132" w:right="319" w:bottom="1440" w:gutter="0" w:footer="0" w:header="0"/>
        </w:sectPr>
      </w:pPr>
    </w:p>
    <w:bookmarkStart w:id="162" w:name="page163"/>
    <w:bookmarkEnd w:id="162"/>
    <w:p>
      <w:pPr>
        <w:jc w:val="both"/>
        <w:spacing w:after="0" w:line="271" w:lineRule="auto"/>
        <w:rPr>
          <w:sz w:val="20"/>
          <w:szCs w:val="20"/>
          <w:color w:val="auto"/>
        </w:rPr>
      </w:pPr>
      <w:r>
        <w:rPr>
          <w:rFonts w:ascii="Times New Roman" w:cs="Times New Roman" w:eastAsia="Times New Roman" w:hAnsi="Times New Roman"/>
          <w:sz w:val="14"/>
          <w:szCs w:val="14"/>
          <w:color w:val="auto"/>
        </w:rPr>
        <w:t>ownership limitation between 4.9% and 19.9% of the fully-diluted shares of Common Stock outstanding immediately after giving effect to the issuance of shares of Common Stock, as elected by such holder, if applicable.</w:t>
      </w:r>
    </w:p>
    <w:p>
      <w:pPr>
        <w:spacing w:after="0" w:line="14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Certificate of Designation also provides that no holder of Series A Preferred Stock will be entitled to receive Conversion Shares (as defined in the Certificate of Designation) to the extent that such receipt would exceed such holder’s pro rata portion of the 19.99% Cap (as defined in the Certificate of Designation), or if such conversion would otherwise result in a “change of control” within the meaning of Nasdaq Listing Rule 5635(b), unless the Company has obtained stockholder approval.</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Transferability</w:t>
      </w:r>
    </w:p>
    <w:p>
      <w:pPr>
        <w:spacing w:after="0" w:line="191"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The shares of Series A Preferred Stock are not registered under the Securities Act and may not be offered or sold in the United States absent registration or an applicable exemption from registration requirements. Subject to the applicable securities laws, the Series A Preferred Stock may be transferred at the option of the holder. The resale of the shares of Common Stock upon conversion of Series A Preferred Stock will have the benefit of registration rights.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Adjustments</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Optional Conversion Price of the Series A Preferred Stock and the number of shares of Common Stock issuable upon the conversion of Series A Preferred Stock are subject to adjustment in certain circumstances.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Rights Upon Distribution of Assets</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If the Company declares or makes certain payments, dividends or other distributions of the Company’s assets or securities to holders of shares of Common Stock, the Optional Conversion Price in effect immediately prior to the record date fixed for determination of holders entitled to receive the distribution shall be reduced pursuant to certain formulas set forth in the Certificate of Designation and the number of shares issuable upon conversion of the Series A Preferred Stock shall be adjusted accordingly.</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There is no established public trading market for the Series A Preferred Stock, and the Company does not expect a market to develop. In addition, the Company does not intend to apply for listing of the Series A Preferred Stock on any national securities exchange or other nationally recognized trading system.</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Fundamental Transactions</w:t>
      </w:r>
    </w:p>
    <w:p>
      <w:pPr>
        <w:spacing w:after="0" w:line="18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the event of any fundamental transaction, as described in the Certificate of Designation and generally including any merger with or into another entity (excluding a merger effected solely to change our name or domicile), sale of all or substantially all of our assets, tender offer or exchange offer, or reclassification of our Common Stock, the shares of Series A Preferred Stock are, after the Company receives written notice from a holder, redeemable for the greater of (i) the Liquidation Preference, plus an amount equal to all accumulated and unpaid dividends on the Series A Preferred Stock or (ii) the amount that such holder would have received in the fundamental transaction on an as-converted basis.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Subject to certain limitations set forth in the Certificate of Designation, the shares of Series A Preferred Stock are entitled to vote on all matters submitted to the stockholders for a vote together with the holders of Common Stock and Special Voting Common Stock as a single class, on an as-converted basis, with a number of votes per share equal to (x) the Liquidation Preference, plus an amount equal to all accumulated and unpaid dividends on such shares (including dividends accrued and unpaid on previously unpaid dividends) divided by (y) $1.47 (as adjusted for any stock dividends, splits, combinations or other similar events on Common Stock or Series A Preferred Stock).</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Rights as a Stockholder</w:t>
      </w:r>
    </w:p>
    <w:p>
      <w:pPr>
        <w:sectPr>
          <w:pgSz w:w="11900" w:h="16838" w:orient="portrait"/>
          <w:cols w:equalWidth="0" w:num="1">
            <w:col w:w="11280"/>
          </w:cols>
          <w:pgMar w:left="300" w:top="1133" w:right="319" w:bottom="1440" w:gutter="0" w:footer="0" w:header="0"/>
        </w:sectPr>
      </w:pPr>
    </w:p>
    <w:bookmarkStart w:id="163" w:name="page164"/>
    <w:bookmarkEnd w:id="163"/>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Subject to certain limitations set forth in the Certificate of Designation, so long as shares of the Series A Preferred Stock remain outstanding, the Company cannot, without first obtaining the approval of the Requisite Holders (as defined in the Certificate of Designation), among other things, (i) increase the authorized number of shares of Common Stock prior to July 1, 2025, (ii) issue more than 1.5 million shares of Common Stock prior to July 1, 2025, (iii) alter the terms of the Series A Preferred Stock or (iv) issue any parity securities or senior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Purchase Agreement Warrants</w:t>
      </w:r>
    </w:p>
    <w:p>
      <w:pPr>
        <w:spacing w:after="0" w:line="189"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On April 11, 2025, the Company entered into the Waiver, Consent and Sixth Amendment (the “</w:t>
      </w:r>
      <w:r>
        <w:rPr>
          <w:rFonts w:ascii="Times New Roman" w:cs="Times New Roman" w:eastAsia="Times New Roman" w:hAnsi="Times New Roman"/>
          <w:sz w:val="14"/>
          <w:szCs w:val="14"/>
          <w:i w:val="1"/>
          <w:iCs w:val="1"/>
          <w:color w:val="auto"/>
        </w:rPr>
        <w:t>NPA Amendment</w:t>
      </w:r>
      <w:r>
        <w:rPr>
          <w:rFonts w:ascii="Times New Roman" w:cs="Times New Roman" w:eastAsia="Times New Roman" w:hAnsi="Times New Roman"/>
          <w:sz w:val="14"/>
          <w:szCs w:val="14"/>
          <w:color w:val="auto"/>
        </w:rPr>
        <w:t>”), by and among the Company, the subsidiary note obligors party thereto (together with the Company, the “</w:t>
      </w:r>
      <w:r>
        <w:rPr>
          <w:rFonts w:ascii="Times New Roman" w:cs="Times New Roman" w:eastAsia="Times New Roman" w:hAnsi="Times New Roman"/>
          <w:sz w:val="14"/>
          <w:szCs w:val="14"/>
          <w:i w:val="1"/>
          <w:iCs w:val="1"/>
          <w:color w:val="auto"/>
        </w:rPr>
        <w:t>Note Obligors</w:t>
      </w:r>
      <w:r>
        <w:rPr>
          <w:rFonts w:ascii="Times New Roman" w:cs="Times New Roman" w:eastAsia="Times New Roman" w:hAnsi="Times New Roman"/>
          <w:sz w:val="14"/>
          <w:szCs w:val="14"/>
          <w:color w:val="auto"/>
        </w:rPr>
        <w:t>”), the subsidiary guarantors party thereto (the “</w:t>
      </w:r>
      <w:r>
        <w:rPr>
          <w:rFonts w:ascii="Times New Roman" w:cs="Times New Roman" w:eastAsia="Times New Roman" w:hAnsi="Times New Roman"/>
          <w:sz w:val="14"/>
          <w:szCs w:val="14"/>
          <w:i w:val="1"/>
          <w:iCs w:val="1"/>
          <w:color w:val="auto"/>
        </w:rPr>
        <w:t>Guarantors</w:t>
      </w:r>
      <w:r>
        <w:rPr>
          <w:rFonts w:ascii="Times New Roman" w:cs="Times New Roman" w:eastAsia="Times New Roman" w:hAnsi="Times New Roman"/>
          <w:sz w:val="14"/>
          <w:szCs w:val="14"/>
          <w:color w:val="auto"/>
        </w:rPr>
        <w:t>”), the investors party thereto (the “</w:t>
      </w:r>
      <w:r>
        <w:rPr>
          <w:rFonts w:ascii="Times New Roman" w:cs="Times New Roman" w:eastAsia="Times New Roman" w:hAnsi="Times New Roman"/>
          <w:sz w:val="14"/>
          <w:szCs w:val="14"/>
          <w:i w:val="1"/>
          <w:iCs w:val="1"/>
          <w:color w:val="auto"/>
        </w:rPr>
        <w:t>Investors</w:t>
      </w:r>
      <w:r>
        <w:rPr>
          <w:rFonts w:ascii="Times New Roman" w:cs="Times New Roman" w:eastAsia="Times New Roman" w:hAnsi="Times New Roman"/>
          <w:sz w:val="14"/>
          <w:szCs w:val="14"/>
          <w:color w:val="auto"/>
        </w:rPr>
        <w:t>”) and Alter Domus (US) LLC, as collateral agent (“</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which modified that certain Note and Warrant Purchase Agreement, dated as of December 10, 2021 by and among the Note Obligors, the Guarantors, and the Investors (as amended, the “</w:t>
      </w:r>
      <w:r>
        <w:rPr>
          <w:rFonts w:ascii="Times New Roman" w:cs="Times New Roman" w:eastAsia="Times New Roman" w:hAnsi="Times New Roman"/>
          <w:sz w:val="14"/>
          <w:szCs w:val="14"/>
          <w:i w:val="1"/>
          <w:iCs w:val="1"/>
          <w:color w:val="auto"/>
        </w:rPr>
        <w:t>Note Purchase Agreement</w:t>
      </w:r>
      <w:r>
        <w:rPr>
          <w:rFonts w:ascii="Times New Roman" w:cs="Times New Roman" w:eastAsia="Times New Roman" w:hAnsi="Times New Roman"/>
          <w:sz w:val="14"/>
          <w:szCs w:val="14"/>
          <w:color w:val="auto"/>
        </w:rPr>
        <w:t>”), and the subordinated secured notes issued pursuant to the Note Purchase Agreement (the “</w:t>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In connection with the Company’s entrance into the NPA Amendment, the Company issued warrants to the Investors to purchase an aggregate of up to 5,000,000 shares of Common Stock at $1.00 per share (collectively, the “</w:t>
      </w:r>
      <w:r>
        <w:rPr>
          <w:rFonts w:ascii="Times New Roman" w:cs="Times New Roman" w:eastAsia="Times New Roman" w:hAnsi="Times New Roman"/>
          <w:sz w:val="14"/>
          <w:szCs w:val="14"/>
          <w:i w:val="1"/>
          <w:iCs w:val="1"/>
          <w:color w:val="auto"/>
        </w:rPr>
        <w:t>NPA Warrants</w:t>
      </w:r>
      <w:r>
        <w:rPr>
          <w:rFonts w:ascii="Times New Roman" w:cs="Times New Roman" w:eastAsia="Times New Roman" w:hAnsi="Times New Roman"/>
          <w:sz w:val="14"/>
          <w:szCs w:val="14"/>
          <w:color w:val="auto"/>
        </w:rPr>
        <w:t>”). Each NPA Warrant is exercisable until April 11, 2030. The exercise price of the NPA Warrants is subject to adjustment in the event of stock dividends, stock splits, stock combinations, reorganizations or similar events affecting the Common Stock. Subject to limited exceptions, a holder of the NPA Warrants will not have the right to exercise any portion of its NPA Warrant if the holder (together with such holder’s affiliates, and any persons acting as a group together with such holder or any of such holder’s affiliates) would beneficially own a number of shares of Common Stock in excess of 4.99% of the shares of Common Stock then outstanding. At the holder’s option, upon notice to the Company, the holder of an NPA Warrant may increase or decrease this beneficial ownership limitation not to exceed 9.99% of the shares of Common Stock then outstanding, with any such increase becoming effective upon 61 days’ prior notice to the Company.</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You should review a copy of the NPA Amendment and the Form of NPA Warrant attached as Exhibit 10.3 and Exhibit 4.1, respectively, to the Company’s Current Report on Form 8-K (File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001-39907</w:t>
      </w:r>
      <w:r>
        <w:rPr>
          <w:rFonts w:ascii="Times New Roman" w:cs="Times New Roman" w:eastAsia="Times New Roman" w:hAnsi="Times New Roman"/>
          <w:sz w:val="14"/>
          <w:szCs w:val="14"/>
          <w:color w:val="000000"/>
        </w:rPr>
        <w:t>), filed with the Securities and Exchange Commission (the “</w:t>
      </w:r>
      <w:r>
        <w:rPr>
          <w:rFonts w:ascii="Times New Roman" w:cs="Times New Roman" w:eastAsia="Times New Roman" w:hAnsi="Times New Roman"/>
          <w:sz w:val="14"/>
          <w:szCs w:val="14"/>
          <w:i w:val="1"/>
          <w:iCs w:val="1"/>
          <w:color w:val="000000"/>
        </w:rPr>
        <w:t>SEC</w:t>
      </w:r>
      <w:r>
        <w:rPr>
          <w:rFonts w:ascii="Times New Roman" w:cs="Times New Roman" w:eastAsia="Times New Roman" w:hAnsi="Times New Roman"/>
          <w:sz w:val="14"/>
          <w:szCs w:val="14"/>
          <w:color w:val="000000"/>
        </w:rPr>
        <w:t>”) on April 14, 2025, for a complete description of the terms and conditions applicable to the NPA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Warrants</w:t>
      </w:r>
    </w:p>
    <w:p>
      <w:pPr>
        <w:spacing w:after="0" w:line="189"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We refer to the warrants issued in registered form in connection with our initial public offering as the “</w:t>
      </w:r>
      <w:r>
        <w:rPr>
          <w:rFonts w:ascii="Times New Roman" w:cs="Times New Roman" w:eastAsia="Times New Roman" w:hAnsi="Times New Roman"/>
          <w:sz w:val="14"/>
          <w:szCs w:val="14"/>
          <w:i w:val="1"/>
          <w:iCs w:val="1"/>
          <w:color w:val="auto"/>
        </w:rPr>
        <w:t>Public Warrants</w:t>
      </w:r>
      <w:r>
        <w:rPr>
          <w:rFonts w:ascii="Times New Roman" w:cs="Times New Roman" w:eastAsia="Times New Roman" w:hAnsi="Times New Roman"/>
          <w:sz w:val="14"/>
          <w:szCs w:val="14"/>
          <w:color w:val="auto"/>
        </w:rPr>
        <w:t>.” With respect to the Public Warrants, each twenty (20) whole warrants entitle the registered holder to purchase one whole share of our Common Stock at a price of $230.00 per share (the “</w:t>
      </w:r>
      <w:r>
        <w:rPr>
          <w:rFonts w:ascii="Times New Roman" w:cs="Times New Roman" w:eastAsia="Times New Roman" w:hAnsi="Times New Roman"/>
          <w:sz w:val="14"/>
          <w:szCs w:val="14"/>
          <w:i w:val="1"/>
          <w:iCs w:val="1"/>
          <w:color w:val="auto"/>
        </w:rPr>
        <w:t>Warrant Exercise Price</w:t>
      </w:r>
      <w:r>
        <w:rPr>
          <w:rFonts w:ascii="Times New Roman" w:cs="Times New Roman" w:eastAsia="Times New Roman" w:hAnsi="Times New Roman"/>
          <w:sz w:val="14"/>
          <w:szCs w:val="14"/>
          <w:color w:val="auto"/>
        </w:rPr>
        <w:t>”), subject to certain adjustments. A warrant holder may exercise its Public Warrants only for a whole number of shares of Common Stock. This means that only a multiple of twenty (20) whole Public Warrants may be exercised at any given time by a warrant holder. The Public Warrants will expire on January 18, 2027 (five years after the consummation of the transactions contemplated by that certain Agreement and Plan of Merger, dated as of April 29, 2021 (as amended on October 27, 2021) to which the Company was a party (the “</w:t>
      </w:r>
      <w:r>
        <w:rPr>
          <w:rFonts w:ascii="Times New Roman" w:cs="Times New Roman" w:eastAsia="Times New Roman" w:hAnsi="Times New Roman"/>
          <w:sz w:val="14"/>
          <w:szCs w:val="14"/>
          <w:i w:val="1"/>
          <w:iCs w:val="1"/>
          <w:color w:val="auto"/>
        </w:rPr>
        <w:t>Business Combination</w:t>
      </w:r>
      <w:r>
        <w:rPr>
          <w:rFonts w:ascii="Times New Roman" w:cs="Times New Roman" w:eastAsia="Times New Roman" w:hAnsi="Times New Roman"/>
          <w:sz w:val="14"/>
          <w:szCs w:val="14"/>
          <w:color w:val="auto"/>
        </w:rPr>
        <w:t>”)), at 5:00 p.m., New York City time, or earlier upon redemption or liquidation.</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Public Warrant is exercisable for cash or on a cashless basis.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Cash</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call the Public Warrants for redemption:</w:t>
      </w:r>
    </w:p>
    <w:p>
      <w:pPr>
        <w:spacing w:after="0" w:line="189" w:lineRule="exact"/>
        <w:rPr>
          <w:sz w:val="20"/>
          <w:szCs w:val="20"/>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Public Warrant;</w:t>
      </w:r>
    </w:p>
    <w:p>
      <w:pPr>
        <w:sectPr>
          <w:pgSz w:w="11900" w:h="16838" w:orient="portrait"/>
          <w:cols w:equalWidth="0" w:num="1">
            <w:col w:w="11280"/>
          </w:cols>
          <w:pgMar w:left="300" w:top="1133" w:right="319" w:bottom="1440" w:gutter="0" w:footer="0" w:header="0"/>
        </w:sectPr>
      </w:pPr>
    </w:p>
    <w:bookmarkStart w:id="164" w:name="page165"/>
    <w:bookmarkEnd w:id="164"/>
    <w:p>
      <w:pPr>
        <w:ind w:left="520" w:hanging="260"/>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thirty (30) days’ prior written notice of redemption (the “</w:t>
      </w:r>
      <w:r>
        <w:rPr>
          <w:rFonts w:ascii="Times New Roman" w:cs="Times New Roman" w:eastAsia="Times New Roman" w:hAnsi="Times New Roman"/>
          <w:sz w:val="14"/>
          <w:szCs w:val="14"/>
          <w:i w:val="1"/>
          <w:iCs w:val="1"/>
          <w:color w:val="auto"/>
        </w:rPr>
        <w:t>30-day redemption period</w:t>
      </w:r>
      <w:r>
        <w:rPr>
          <w:rFonts w:ascii="Times New Roman" w:cs="Times New Roman" w:eastAsia="Times New Roman" w:hAnsi="Times New Roman"/>
          <w:sz w:val="14"/>
          <w:szCs w:val="14"/>
          <w:color w:val="auto"/>
        </w:rPr>
        <w:t>”) to each warrant holder; and</w:t>
      </w:r>
    </w:p>
    <w:p>
      <w:pPr>
        <w:spacing w:after="0" w:line="189"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the Common Stock equals or exceeds $360.00 per share (the “</w:t>
      </w:r>
      <w:r>
        <w:rPr>
          <w:rFonts w:ascii="Times New Roman" w:cs="Times New Roman" w:eastAsia="Times New Roman" w:hAnsi="Times New Roman"/>
          <w:sz w:val="14"/>
          <w:szCs w:val="14"/>
          <w:i w:val="1"/>
          <w:iCs w:val="1"/>
          <w:color w:val="auto"/>
        </w:rPr>
        <w:t>Warrant Redemption Trigger Price</w:t>
      </w:r>
      <w:r>
        <w:rPr>
          <w:rFonts w:ascii="Times New Roman" w:cs="Times New Roman" w:eastAsia="Times New Roman" w:hAnsi="Times New Roman"/>
          <w:sz w:val="14"/>
          <w:szCs w:val="14"/>
          <w:color w:val="auto"/>
        </w:rPr>
        <w:t>”) for any twenty (20) trading days within a thirty (30)-trading day period ending three (3) business days before we send the notice of redemption to the Public Warrant holders.</w:t>
      </w:r>
    </w:p>
    <w:p>
      <w:pPr>
        <w:spacing w:after="0" w:line="14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Warrant Redemption Trigger Price as well as the Warrant Exercise Price after the redemption notice is issued.</w:t>
      </w:r>
    </w:p>
    <w:p>
      <w:pPr>
        <w:spacing w:after="0" w:line="15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the event we elect to redeem the outstanding Public Warrants, we will fix a date for the redemption (the “</w:t>
      </w:r>
      <w:r>
        <w:rPr>
          <w:rFonts w:ascii="Times New Roman" w:cs="Times New Roman" w:eastAsia="Times New Roman" w:hAnsi="Times New Roman"/>
          <w:sz w:val="14"/>
          <w:szCs w:val="14"/>
          <w:i w:val="1"/>
          <w:iCs w:val="1"/>
          <w:color w:val="auto"/>
        </w:rPr>
        <w:t>Redemption Date</w:t>
      </w:r>
      <w:r>
        <w:rPr>
          <w:rFonts w:ascii="Times New Roman" w:cs="Times New Roman" w:eastAsia="Times New Roman" w:hAnsi="Times New Roman"/>
          <w:sz w:val="14"/>
          <w:szCs w:val="14"/>
          <w:color w:val="auto"/>
        </w:rPr>
        <w:t>”) and provide notice of the redemption to be mailed by first class mail, postage prepaid by us not less than thirty days prior to the Redemption Date to the registered holders of the Public Warrants (who will, in turn, notify the beneficial holders thereof).</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Common Stock</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Commencing ninety (90) days after the Public Warrants become exercisable, we may redeem the outstanding Public Warrants:</w:t>
      </w:r>
    </w:p>
    <w:p>
      <w:pPr>
        <w:spacing w:after="0" w:line="189" w:lineRule="exact"/>
        <w:rPr>
          <w:sz w:val="20"/>
          <w:szCs w:val="20"/>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equal to a number of shares of Common Stock to be determined by reference to the table below, based on the redemption date and the “fair market value” of our Common Stock except as otherwise described below;</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an effective registration statement covering the shares of Common Stock issuable upon exercise of the Public Warrants and a current prospectus relating thereto available throughout the thirty (30)-day period after written notice of redemption is given;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thirty (30) days’ prior written notice of redemption to each warrant holder; and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last reported sale price of our Common Stock equals or exceeds $200.00 per share (as adjusted for share splits, share dividends, reorganizations, reclassifications, recapitalizations and the like) on the trading day prior to the date on which we send the notice of redemption to the warrant holders.</w:t>
      </w:r>
    </w:p>
    <w:p>
      <w:pPr>
        <w:spacing w:after="0" w:line="146"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The numbers in the table below represent the “redemption prices,” or the number of shares of Common Stock that a warrant holder will receive upon redemption by us pursuant to this redemption feature, of twenty (20) whole Public Warrants, based on the “fair market value” of our Common Stock on the corresponding redemption date, determined based on the average of the last reported sales price for the ten (10) trading days ending on the third trading day prior to the date on which the notice of redemption is sent to the holders of Public Warrants, and the number of months that the corresponding redemption date precedes the expiration date of the Public Warrants, each as set forth in the table below.</w:t>
      </w:r>
    </w:p>
    <w:p>
      <w:pPr>
        <w:spacing w:after="0" w:line="16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The share prices set forth in the column headings of the table below, and references to such prices elsewhere in this description, will be adjusted as of any date on which the number of shares issuable upon exercise of a Public Warrant is adjusted as set forth below.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 below shall be adjusted in the same manner and at the same time as the number of shares issuable upon exercise of twenty (20) whole Public Warrants.</w:t>
      </w:r>
    </w:p>
    <w:p>
      <w:pPr>
        <w:sectPr>
          <w:pgSz w:w="11900" w:h="16838" w:orient="portrait"/>
          <w:cols w:equalWidth="0" w:num="1">
            <w:col w:w="11280"/>
          </w:cols>
          <w:pgMar w:left="300" w:top="1131" w:right="319" w:bottom="1440" w:gutter="0" w:footer="0" w:header="0"/>
        </w:sectPr>
      </w:pPr>
    </w:p>
    <w:bookmarkStart w:id="165" w:name="page166"/>
    <w:bookmarkEnd w:id="16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Redemption Date</w:t>
            </w:r>
          </w:p>
        </w:tc>
        <w:tc>
          <w:tcPr>
            <w:tcW w:w="2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Fair Market Value of Common Stock</w:t>
            </w: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13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(period to expiration of warrants)</w:t>
            </w:r>
          </w:p>
        </w:tc>
        <w:tc>
          <w:tcPr>
            <w:tcW w:w="21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0"/>
                <w:szCs w:val="10"/>
                <w:b w:val="1"/>
                <w:bCs w:val="1"/>
                <w:color w:val="auto"/>
              </w:rPr>
              <w:t>&lt;$200</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220</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240</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260</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280</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300</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320</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340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360</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57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0.257</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0.277</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0.294</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0.31</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0.324</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0.337</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0.348</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0.358</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0.365</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54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0.252</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0.272</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0.291</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0.307</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0.322</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0.335</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0.347</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0.357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0.365</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51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0.246</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0.268</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0.287</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0.304</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0.32</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0.333</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0.346</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0.357</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0.365</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48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0.241</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0.263</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0.283</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0.301</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0.317</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0.332</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0.344</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0.356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0.365</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45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0.235</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0.258</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0.279</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0.298</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0.315</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0.33</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0.343</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0.356</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0.365</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0.228</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0.252</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0.274</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0.294</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0.312</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0.328</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0.342</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0.355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39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0.221</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0.246</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0.269</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0.29</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0.309</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0.325</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0.34</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0.354</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36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0.213</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0.239</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0.263</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0.285</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0.305</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0.323</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0.339</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0.353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33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0.205</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0.232</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0.257</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0.28</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0.301</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0.32</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0.337</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0.352</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30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0.196</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0.224</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0.25</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0.274</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0.297</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0.316</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0.335</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0.351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27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0.185</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0.214</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0.242</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0.268</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0.291</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0.313</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0.332</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0.35</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24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0.173</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0.204</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0.233</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0.26</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0.285</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0.308</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0.329</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0.348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21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0.161</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0.193</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0.223</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0.252</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0.279</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0.304</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0.326</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0.347</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0.364</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18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0.146</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0.179</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0.211</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0.242</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0.271</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0.298</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0.322</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0.363</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15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0.13</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0.164</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0.197</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0.23</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0.262</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0.291</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0.317</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0.342</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0.363</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12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0.111</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0.146</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0.181</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0.216</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0.25</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0.282</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0.312</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0.363</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9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0.09</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0.125</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0.162</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0.199</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0.237</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0.272</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0.305</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0.336</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0.362</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6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0.065</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0.099</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0.137</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0.178</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0.219</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0.259</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0.296</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0.331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0.362</w:t>
            </w:r>
          </w:p>
        </w:tc>
      </w:tr>
      <w:tr>
        <w:trPr>
          <w:trHeight w:val="133"/>
        </w:trPr>
        <w:tc>
          <w:tcPr>
            <w:tcW w:w="2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 months</w:t>
            </w:r>
          </w:p>
        </w:tc>
        <w:tc>
          <w:tcPr>
            <w:tcW w:w="21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0.034</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0.065</w:t>
            </w: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0.104</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0.15</w:t>
            </w: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0"/>
                <w:szCs w:val="10"/>
                <w:color w:val="auto"/>
              </w:rPr>
              <w:t>0.197</w:t>
            </w:r>
          </w:p>
        </w:tc>
        <w:tc>
          <w:tcPr>
            <w:tcW w:w="60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0.243</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0.286</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0.326</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0.361</w:t>
            </w:r>
          </w:p>
        </w:tc>
      </w:tr>
      <w:tr>
        <w:trPr>
          <w:trHeight w:val="1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0 months</w:t>
            </w:r>
          </w:p>
        </w:tc>
        <w:tc>
          <w:tcPr>
            <w:tcW w:w="21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w:t>
            </w:r>
          </w:p>
        </w:tc>
        <w:tc>
          <w:tcPr>
            <w:tcW w:w="7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0.042</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0.115</w:t>
            </w:r>
          </w:p>
        </w:tc>
        <w:tc>
          <w:tcPr>
            <w:tcW w:w="106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0"/>
                <w:szCs w:val="10"/>
                <w:color w:val="auto"/>
              </w:rPr>
              <w:t>0.179</w:t>
            </w:r>
          </w:p>
        </w:tc>
        <w:tc>
          <w:tcPr>
            <w:tcW w:w="6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0.233</w:t>
            </w:r>
          </w:p>
        </w:tc>
        <w:tc>
          <w:tcPr>
            <w:tcW w:w="8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0.281</w:t>
            </w:r>
          </w:p>
        </w:tc>
        <w:tc>
          <w:tcPr>
            <w:tcW w:w="9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0.323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0.361</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“fair market value” of our Common Stock shall mean the average last reported sale price of our Common Stock for the 10 trading days ending on the third trading day prior to the date on which the notice of redemption is sent to the holders of Public Warrants.</w:t>
      </w:r>
    </w:p>
    <w:p>
      <w:pPr>
        <w:spacing w:after="0" w:line="146"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Common Stock for the 10 trading days ending on the third trading date prior to the date on which the notice of redemption is sent to the holders of the Public Warrants is $220.00 per share, and at such time there are 57 months until the expiration of the Public Warrants, we may choose to, pursuant to this redemption feature, redeem the Public Warrants at a “redemption price” of 0.277 shares of Common Stock for 20 whole Public Warrants. For an example where the exact fair market value and redemption date are not as set forth in the table above, if the average last reported sale price of our Common Stock for the 10 trading days ending on the third trading date prior to the date on which the notice of redemption is sent to the holders of the Public Warrants is $270.00 per share, and at such time there are 38 months until the expiration of the Public Warrants, we may choose to, pursuant to this redemption feature, redeem the Public Warrants at a “redemption price” of 0.298 shares of Common Stock for 20 whole Public Warrants. Finally, as reflected in the table above, we can redeem the Public Warrants for no consideration in the event that the Public Warrants are “out of the money” (i.e., the trading price of our Common Stock is below the exercise price of the Public Warrants) and about to expire.</w:t>
      </w:r>
    </w:p>
    <w:p>
      <w:pPr>
        <w:sectPr>
          <w:pgSz w:w="11900" w:h="16838" w:orient="portrait"/>
          <w:cols w:equalWidth="0" w:num="1">
            <w:col w:w="11280"/>
          </w:cols>
          <w:pgMar w:left="300" w:top="1440" w:right="319" w:bottom="1440" w:gutter="0" w:footer="0" w:header="0"/>
        </w:sectPr>
      </w:pPr>
    </w:p>
    <w:bookmarkStart w:id="166" w:name="page167"/>
    <w:bookmarkEnd w:id="166"/>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Any Public Warrants held by our officers or directors will be subject to this redemption feature, except that such officers and directors shall only receive “fair market value” for such public warrants so redeemed (“fair market value” for such Public Warrants held by our officers or directors being defined as the last reported sale price of the Public Warrants on such redemption date).</w:t>
      </w:r>
    </w:p>
    <w:p>
      <w:pPr>
        <w:spacing w:after="0" w:line="146"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This redemption feature differs from the typical warrant redemption features used in other blank check offerings, which typically only provide for a redemption of warrants for cash when the trading price for the Common Stock exceeds $360.00 per share for a specified period of time. This redemption feature is structured to allow for all of the outstanding Public Warrants to be redeemed when the shares of Common Stock are trading at or above $200.00 per share, which may be at a time when the trading price of our Common Stock is below the exercise price of the Public Warrants. We have established this redemption feature to provide the Public Warrants with an additional liquidity feature, which provides us with the flexibility to redeem the warrants for shares of Common Stock, instead of cash, for “fair value” without the warrants having to reach the $360.00 per share threshold set forth above under “-</w:t>
      </w:r>
      <w:r>
        <w:rPr>
          <w:rFonts w:ascii="Times New Roman" w:cs="Times New Roman" w:eastAsia="Times New Roman" w:hAnsi="Times New Roman"/>
          <w:sz w:val="14"/>
          <w:szCs w:val="14"/>
          <w:i w:val="1"/>
          <w:iCs w:val="1"/>
          <w:color w:val="auto"/>
        </w:rPr>
        <w:t>Redemption of Public Warrants for Cash</w:t>
      </w:r>
      <w:r>
        <w:rPr>
          <w:rFonts w:ascii="Times New Roman" w:cs="Times New Roman" w:eastAsia="Times New Roman" w:hAnsi="Times New Roman"/>
          <w:sz w:val="14"/>
          <w:szCs w:val="14"/>
          <w:color w:val="auto"/>
        </w:rPr>
        <w:t>.” Holders of the Public Warrants will, in effect, receive a number of shares representing fair value for their Public Warrants based on an option pricing model with a fixed volatility input as of January 19, 2021. This redemption right provides us not only with an additional mechanism by which to redeem all of the outstanding Public Warrants, in this case, for Common Stock, and therefore have certainty as to (a) our capital structure as the Public Warrants would no longer be outstanding and would have been exercised or redeemed and (b) to the amount of cash provided by the exercise of the Public Warrants and available to us, and also provides a ceiling to the theoretical value of the Public Warrants as it locks in the “redemption prices” we would pay to warrant holders if we chose to redeem Public Warrants in this manner. We will effectively be required to pay fair value to warrant holders if we choose to exercise this redemption right and it will allow us to quickly proceed with a redemption of the Public Warrants for Common Stock if we determine it is in our best interest to do so. As such, we would redeem the Public Warrants in this manner when we believe it is in our best interest to update our capital structure to remove the Public Warrants and pay fair value to the warrant holders. In particular, it would allow us to quickly redeem the Public Warrants for Common Stock, without having to negotiate a redemption price with the warrant holders. In addition, the warrant holders will have the ability to exercise the warrants prior to redemption if they should choose to do so.</w:t>
      </w:r>
    </w:p>
    <w:p>
      <w:pPr>
        <w:spacing w:after="0" w:line="174"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As stated above, we can redeem the Public Warrants when the shares of Common Stock are trading at a price starting at $200.00, which is below the exercise price of $230.00, because it will provide certainty with respect to our capital structure and cash position while providing warrant holders with fair value (in the form of Common Stock). If we choose to redeem the Public Warrants when the Common Stock is trading at a price below the exercise price of the Public Warrants, this could result in the warrant holders receiving fewer shares of Common Stock than they would have received if they had chosen to wait to exercise their warrants for Common Stock if and when such shares of Common Stock were trading at a price higher than the exercise price of $230.00.</w:t>
      </w:r>
    </w:p>
    <w:p>
      <w:pPr>
        <w:spacing w:after="0" w:line="16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No fractional shares of Common Stock will be issued upon redemption. If, upon redemption, a holder would be entitled to receive a fractional interest in a share, we will round down to the nearest whole number of shares of Common Stock to be issued to the holder.</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91" w:lineRule="exact"/>
        <w:rPr>
          <w:sz w:val="20"/>
          <w:szCs w:val="20"/>
          <w:color w:val="auto"/>
        </w:rPr>
      </w:pPr>
    </w:p>
    <w:p>
      <w:pPr>
        <w:jc w:val="both"/>
        <w:ind w:firstLine="255"/>
        <w:spacing w:after="0" w:line="241"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our management will have the option to require any holder that wishes to exercise its Public Warrant to do so on a “cashless basis.” In determining whether to require all holders to exercise their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w:t>
      </w:r>
    </w:p>
    <w:p>
      <w:pPr>
        <w:sectPr>
          <w:pgSz w:w="11900" w:h="16838" w:orient="portrait"/>
          <w:cols w:equalWidth="0" w:num="1">
            <w:col w:w="11280"/>
          </w:cols>
          <w:pgMar w:left="300" w:top="1132" w:right="319" w:bottom="1440" w:gutter="0" w:footer="0" w:header="0"/>
        </w:sectPr>
      </w:pPr>
    </w:p>
    <w:bookmarkStart w:id="167" w:name="page168"/>
    <w:bookmarkEnd w:id="167"/>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91"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(a) the number of shares of Common Stock actually sold in such rights offering (or issuable under any other equity securities sold in such rights offering that are convertible into or exercisable for Common Stock) multiplied by (b)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70"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(a) as described above, (b) certain ordinary cash dividends, or (c) to satisfy the redemption rights of the holders of Common Stock in connection with a stockholder vote to amend our Amended and Restated Certificate of Incorporation with respect to any provisions relating to stockholders’ rights,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65"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63"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57"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received by the holders of Common Stock in such a transaction is payable in the form of Common</w:t>
      </w:r>
    </w:p>
    <w:p>
      <w:pPr>
        <w:sectPr>
          <w:pgSz w:w="11900" w:h="16838" w:orient="portrait"/>
          <w:cols w:equalWidth="0" w:num="1">
            <w:col w:w="11280"/>
          </w:cols>
          <w:pgMar w:left="300" w:top="1133" w:right="319" w:bottom="1440" w:gutter="0" w:footer="0" w:header="0"/>
        </w:sectPr>
      </w:pPr>
    </w:p>
    <w:bookmarkStart w:id="168" w:name="page169"/>
    <w:bookmarkEnd w:id="168"/>
    <w:p>
      <w:pPr>
        <w:jc w:val="both"/>
        <w:spacing w:after="0" w:line="254" w:lineRule="auto"/>
        <w:rPr>
          <w:sz w:val="20"/>
          <w:szCs w:val="20"/>
          <w:color w:val="auto"/>
        </w:rPr>
      </w:pPr>
      <w:r>
        <w:rPr>
          <w:rFonts w:ascii="Times New Roman" w:cs="Times New Roman" w:eastAsia="Times New Roman" w:hAnsi="Times New Roman"/>
          <w:sz w:val="14"/>
          <w:szCs w:val="14"/>
          <w:color w:val="auto"/>
        </w:rPr>
        <w:t>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warrant exercise price will be reduced as specified in the Warrant Agreement (as defined below) based on the Black-Scholes value (as defined in the Warrant Agreement) of the Public Warrant.</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 about the Public Warrants</w:t>
      </w:r>
    </w:p>
    <w:p>
      <w:pPr>
        <w:spacing w:after="0" w:line="189"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The Public Warrants were issued in registered form under the Warrant Agreement between Computershare Trust Company, N.A., as warrant agent, and us (the “</w:t>
      </w:r>
      <w:r>
        <w:rPr>
          <w:rFonts w:ascii="Times New Roman" w:cs="Times New Roman" w:eastAsia="Times New Roman" w:hAnsi="Times New Roman"/>
          <w:sz w:val="14"/>
          <w:szCs w:val="14"/>
          <w:i w:val="1"/>
          <w:iCs w:val="1"/>
          <w:color w:val="auto"/>
        </w:rPr>
        <w:t>Warrant Agreement</w:t>
      </w:r>
      <w:r>
        <w:rPr>
          <w:rFonts w:ascii="Times New Roman" w:cs="Times New Roman" w:eastAsia="Times New Roman" w:hAnsi="Times New Roman"/>
          <w:sz w:val="14"/>
          <w:szCs w:val="14"/>
          <w:color w:val="auto"/>
        </w:rPr>
        <w:t>”). You should review a copy of the Warrant Agreement, which was filed as Exhibit 4.3 to the registration statement on Form S-1 (File No. 333-251663) filed with the SEC on January 31, 2022,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w:t>
      </w:r>
    </w:p>
    <w:p>
      <w:pPr>
        <w:spacing w:after="0" w:line="166" w:lineRule="exact"/>
        <w:rPr>
          <w:sz w:val="20"/>
          <w:szCs w:val="20"/>
          <w:color w:val="auto"/>
        </w:rPr>
      </w:pPr>
    </w:p>
    <w:p>
      <w:pPr>
        <w:jc w:val="both"/>
        <w:ind w:firstLine="255"/>
        <w:spacing w:after="0" w:line="242"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or any voting rights until they exercise their warrants and receive shares of Common Stock. After the issuance of shares of Common Stock upon exercise of the Public Warrants, each holder of such shares will be entitled to one vote for each share held of record on all matters to be voted on by stockholders.</w:t>
      </w: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91"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Certain provisions of Delaware law, the Amended and Restated Certificate of Incorporation, and the Amended and Restated Bylaws may have the effect of delaying, deferring, or discouraging another person from acquiring control of the Company. They are also designed, in part, to encourage persons seeking to acquire control of the Company to negotiate first with the Board. It is possible that these provisions could make it more difficult to accomplish or could deter transactions that stockholders may otherwise consider to be in their best interests or in the Company’s best interests, including transactions that provide for payment of a premium over the market price for the Company’s shares.</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18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Company is governed by the provisions of Section 203 of the General Corporation Law of the State of Delaware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 In general, Section 203 of the DGCL prohibits a public Delaware corporation from engaging in a “business combination” with an “interested stockholder” for a period of three years after the date of the transaction in which the person became an interested stockholder, unless:</w:t>
      </w:r>
    </w:p>
    <w:p>
      <w:pPr>
        <w:spacing w:after="0" w:line="157" w:lineRule="exact"/>
        <w:rPr>
          <w:sz w:val="20"/>
          <w:szCs w:val="20"/>
          <w:color w:val="auto"/>
        </w:rPr>
      </w:pPr>
    </w:p>
    <w:p>
      <w:pPr>
        <w:ind w:left="520" w:hanging="260"/>
        <w:spacing w:after="0" w:line="271" w:lineRule="auto"/>
        <w:tabs>
          <w:tab w:leader="none" w:pos="5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the business combination or the transaction which resulted in the stockholder becoming an interested stockholder was approved by the Board prior to the time that the stockholder became an interested stockholder;</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ectPr>
          <w:pgSz w:w="11900" w:h="16838" w:orient="portrait"/>
          <w:cols w:equalWidth="0" w:num="1">
            <w:col w:w="11280"/>
          </w:cols>
          <w:pgMar w:left="300" w:top="1133" w:right="319" w:bottom="1440" w:gutter="0" w:footer="0" w:header="0"/>
        </w:sectPr>
      </w:pPr>
    </w:p>
    <w:bookmarkStart w:id="169" w:name="page170"/>
    <w:bookmarkEnd w:id="169"/>
    <w:p>
      <w:pPr>
        <w:ind w:left="520" w:hanging="260"/>
        <w:spacing w:after="0" w:line="271" w:lineRule="auto"/>
        <w:tabs>
          <w:tab w:leader="none" w:pos="51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stockholder became an interested stockholder, the business combination was approved by the Board and authorized at an annual or special meeting of the stockholders, and not by written consent, by the affirmative vote of at least two-thirds of the outstanding voting stock which is not owned by the interested stockholder.</w:t>
      </w:r>
    </w:p>
    <w:p>
      <w:pPr>
        <w:spacing w:after="0" w:line="14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 general, Section 203 defines a “business combination” to include mergers, asset sales, and other transactions resulting in financial benefit to an interested stockholder and an “interested stockholder” as a person who, together with affiliates and associates, owns, or, within the prior three years (subject to certain other requirements), did own, 15% or more of the corporation’s outstanding voting stock. We anticipate that Section 203 may also have the effect of delaying, deferring, or preventing changes in control of the Company.</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 provisions</w:t>
      </w:r>
    </w:p>
    <w:p>
      <w:pPr>
        <w:spacing w:after="0" w:line="16" w:lineRule="exact"/>
        <w:rPr>
          <w:sz w:val="20"/>
          <w:szCs w:val="20"/>
          <w:color w:val="auto"/>
        </w:rPr>
      </w:pPr>
    </w:p>
    <w:p>
      <w:pPr>
        <w:jc w:val="both"/>
        <w:ind w:firstLine="255"/>
        <w:spacing w:after="0" w:line="235" w:lineRule="auto"/>
        <w:rPr>
          <w:sz w:val="20"/>
          <w:szCs w:val="20"/>
          <w:color w:val="auto"/>
        </w:rPr>
      </w:pPr>
      <w:r>
        <w:rPr>
          <w:rFonts w:ascii="Times New Roman" w:cs="Times New Roman" w:eastAsia="Times New Roman" w:hAnsi="Times New Roman"/>
          <w:sz w:val="14"/>
          <w:szCs w:val="14"/>
          <w:color w:val="auto"/>
        </w:rPr>
        <w:t>The Amended and Restated Certificate of Incorporation and the Amended and Restated Bylaws include a number of provisions that could deter hostile takeovers or delay or prevent changes in control of the Board or management team, including the following:</w:t>
      </w:r>
    </w:p>
    <w:p>
      <w:pPr>
        <w:spacing w:after="0" w:line="165" w:lineRule="exact"/>
        <w:rPr>
          <w:sz w:val="20"/>
          <w:szCs w:val="20"/>
          <w:color w:val="auto"/>
        </w:rPr>
      </w:pPr>
    </w:p>
    <w:p>
      <w:pPr>
        <w:jc w:val="both"/>
        <w:ind w:left="520" w:hanging="260"/>
        <w:spacing w:after="0" w:line="246" w:lineRule="auto"/>
        <w:tabs>
          <w:tab w:leader="none" w:pos="5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Board of Directors Vacancies. </w:t>
      </w:r>
      <w:r>
        <w:rPr>
          <w:rFonts w:ascii="Times New Roman" w:cs="Times New Roman" w:eastAsia="Times New Roman" w:hAnsi="Times New Roman"/>
          <w:sz w:val="14"/>
          <w:szCs w:val="14"/>
          <w:color w:val="auto"/>
        </w:rPr>
        <w:t>The Amended and Restated Certificate of Incorporation and Amended and Restated Bylaws authorize only a majority of the remaining members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although less than a quorum, to fill vacant directorships, including newly created seats. In addition, subject to the rights of holders of any series of Preferred Stock, the number of directors constituting the Board will be permitted to be set only by a resolution adopted by a majority of the Board. These provisions would prevent a stockholder from increasing the size of the Board and then gaining control of the Board by filling the resulting vacancies with its own nominees. This will make it more difficult to change the composition of the Board and will promote continuity of management.</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49" w:lineRule="auto"/>
        <w:tabs>
          <w:tab w:leader="none" w:pos="5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Classified Board</w:t>
      </w:r>
      <w:r>
        <w:rPr>
          <w:rFonts w:ascii="Times New Roman" w:cs="Times New Roman" w:eastAsia="Times New Roman" w:hAnsi="Times New Roman"/>
          <w:sz w:val="14"/>
          <w:szCs w:val="14"/>
          <w:color w:val="auto"/>
        </w:rPr>
        <w:t>. The Amended and Restated Certificate of Incorporation and Amended and Restated Bylaws provide that the Board is divided into three classes of directors. For more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on the classified board, see the section titled “Item 10. Directors, Executive Officers and Corporate Governance” in the Annual Report on Form 10-K of which this Exhibit 4.8 is a part. The existence of a classified board of directors could discourage a third-party from making a tender offer or otherwise attempting to obtain control of the Company as it is more difficult and time consuming for stockholders to replace a majority of the directors on a classified board of directors.</w:t>
      </w:r>
    </w:p>
    <w:p>
      <w:pPr>
        <w:spacing w:after="0" w:line="15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Directors Removed Only for Cause. </w:t>
      </w:r>
      <w:r>
        <w:rPr>
          <w:rFonts w:ascii="Times New Roman" w:cs="Times New Roman" w:eastAsia="Times New Roman" w:hAnsi="Times New Roman"/>
          <w:sz w:val="14"/>
          <w:szCs w:val="14"/>
          <w:color w:val="auto"/>
        </w:rPr>
        <w:t>The Amended and Restated Certificate of Incorporation provides that stockholders may remove directors only for cause.</w:t>
      </w:r>
    </w:p>
    <w:p>
      <w:pPr>
        <w:spacing w:after="0" w:line="189" w:lineRule="exact"/>
        <w:rPr>
          <w:rFonts w:ascii="Times New Roman" w:cs="Times New Roman" w:eastAsia="Times New Roman" w:hAnsi="Times New Roman"/>
          <w:sz w:val="14"/>
          <w:szCs w:val="14"/>
          <w:color w:val="auto"/>
        </w:rPr>
      </w:pPr>
    </w:p>
    <w:p>
      <w:pPr>
        <w:jc w:val="both"/>
        <w:ind w:left="520" w:hanging="260"/>
        <w:spacing w:after="0"/>
        <w:tabs>
          <w:tab w:leader="none" w:pos="5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Stockholder Action; Special Meeting of Stockholders. </w:t>
      </w:r>
      <w:r>
        <w:rPr>
          <w:rFonts w:ascii="Times New Roman" w:cs="Times New Roman" w:eastAsia="Times New Roman" w:hAnsi="Times New Roman"/>
          <w:sz w:val="14"/>
          <w:szCs w:val="14"/>
          <w:color w:val="auto"/>
        </w:rPr>
        <w:t>The Amended and Restated Certificate of Incorporation and Amended and Restated Bylaws provide that the stockholders may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take action by written consent but may only take action at annual or special meetings of the stockholders. As a result, a holder controlling a majority of the Company’s capital stock would not be able to amend the Amended and Restated Bylaws, amend the Amended and Restated Certificate of Incorporation or remove directors without holding a meeting of stockholders called in accordance with the Amended and Restated Certificate of Incorporation and Amended and Restated Bylaws. The Amended and Restated Certificate of Incorporation and Amended and Restated Bylaws further provide that special meetings of stockholders may be called only by a majority of the Board, the chair of the Board, the Chief Executive Officer of the Company or the president of the Company, thus prohibiting stockholder action to call a special meeting. These provisions might delay the ability of stockholders to force consideration of a proposal or for stockholders controlling a majority of the Company’s capital stock to take any action, including the removal of directors.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49" w:lineRule="auto"/>
        <w:tabs>
          <w:tab w:leader="none" w:pos="5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Advance Notice Requirements for Stockholder Proposals and Director Nominations. </w:t>
      </w:r>
      <w:r>
        <w:rPr>
          <w:rFonts w:ascii="Times New Roman" w:cs="Times New Roman" w:eastAsia="Times New Roman" w:hAnsi="Times New Roman"/>
          <w:sz w:val="14"/>
          <w:szCs w:val="14"/>
          <w:color w:val="auto"/>
        </w:rPr>
        <w:t>The Amended and Restated Certificate of Incorporation and Amended and Restated Bylaws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 advance notice procedures for stockholders seeking to bring business before the annual meeting of stockholders or to nominate candidates for election as directors at stockholder meetings. The Amended and Restated Bylaws also specify certain requirements regarding the form and content of a stockholder’s notice. These provisions might preclude stockholders from bringing matters before the annual meeting of stockholders or from making nominations for directors at meetings of stockholders if the proper procedures are not</w:t>
      </w:r>
    </w:p>
    <w:p>
      <w:pPr>
        <w:sectPr>
          <w:pgSz w:w="11900" w:h="16838" w:orient="portrait"/>
          <w:cols w:equalWidth="0" w:num="1">
            <w:col w:w="11280"/>
          </w:cols>
          <w:pgMar w:left="300" w:top="1133" w:right="319" w:bottom="1440" w:gutter="0" w:footer="0" w:header="0"/>
        </w:sectPr>
      </w:pPr>
    </w:p>
    <w:bookmarkStart w:id="170" w:name="page171"/>
    <w:bookmarkEnd w:id="170"/>
    <w:p>
      <w:pPr>
        <w:ind w:left="520"/>
        <w:spacing w:after="0" w:line="271" w:lineRule="auto"/>
        <w:rPr>
          <w:sz w:val="20"/>
          <w:szCs w:val="20"/>
          <w:color w:val="auto"/>
        </w:rPr>
      </w:pPr>
      <w:r>
        <w:rPr>
          <w:rFonts w:ascii="Times New Roman" w:cs="Times New Roman" w:eastAsia="Times New Roman" w:hAnsi="Times New Roman"/>
          <w:sz w:val="14"/>
          <w:szCs w:val="14"/>
          <w:color w:val="auto"/>
        </w:rPr>
        <w:t>followed. These provisions may also discourage or deter a potential acquirer from conducting a solicitation of proxies to elect the acquirer’s own slate of directors or otherwise attempting to obtain control of the Company.</w:t>
      </w:r>
    </w:p>
    <w:p>
      <w:pPr>
        <w:spacing w:after="0" w:line="144" w:lineRule="exact"/>
        <w:rPr>
          <w:sz w:val="20"/>
          <w:szCs w:val="20"/>
          <w:color w:val="auto"/>
        </w:rPr>
      </w:pPr>
    </w:p>
    <w:p>
      <w:pPr>
        <w:ind w:left="520" w:hanging="260"/>
        <w:spacing w:after="0" w:line="274"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 Cumulative Voting. </w:t>
      </w:r>
      <w:r>
        <w:rPr>
          <w:rFonts w:ascii="Times New Roman" w:cs="Times New Roman" w:eastAsia="Times New Roman" w:hAnsi="Times New Roman"/>
          <w:sz w:val="14"/>
          <w:szCs w:val="14"/>
          <w:color w:val="auto"/>
        </w:rPr>
        <w:t>The DGCL provides that stockholders are not entitled to cumulate votes in the election of directors unless a corporation’s certificate of incorporation provides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The Amended and Restated Certificate of Incorporation does not provide for cumulative voting.</w:t>
      </w:r>
    </w:p>
    <w:p>
      <w:pPr>
        <w:spacing w:after="0" w:line="141"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of Charter and Bylaws Provisions. </w:t>
      </w:r>
      <w:r>
        <w:rPr>
          <w:rFonts w:ascii="Times New Roman" w:cs="Times New Roman" w:eastAsia="Times New Roman" w:hAnsi="Times New Roman"/>
          <w:sz w:val="14"/>
          <w:szCs w:val="14"/>
          <w:color w:val="auto"/>
        </w:rPr>
        <w:t>Any amendment of the above provisions in the Amended and Restated Certificate of Incorporation and Amended and Restated Bylaws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require approval by holders of at least two-thirds of the voting power of the Company’s then outstanding voting securities.</w:t>
      </w:r>
    </w:p>
    <w:p>
      <w:pPr>
        <w:spacing w:after="0" w:line="141" w:lineRule="exact"/>
        <w:rPr>
          <w:rFonts w:ascii="Times New Roman" w:cs="Times New Roman" w:eastAsia="Times New Roman" w:hAnsi="Times New Roman"/>
          <w:sz w:val="14"/>
          <w:szCs w:val="14"/>
          <w:color w:val="auto"/>
        </w:rPr>
      </w:pPr>
    </w:p>
    <w:p>
      <w:pPr>
        <w:jc w:val="both"/>
        <w:ind w:left="520" w:hanging="260"/>
        <w:spacing w:after="0" w:line="244"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Issuance of Undesignated Preferred Stock. </w:t>
      </w:r>
      <w:r>
        <w:rPr>
          <w:rFonts w:ascii="Times New Roman" w:cs="Times New Roman" w:eastAsia="Times New Roman" w:hAnsi="Times New Roman"/>
          <w:sz w:val="14"/>
          <w:szCs w:val="14"/>
          <w:color w:val="auto"/>
        </w:rPr>
        <w:t>The Amended and Restated Certificate of Incorporation provides that the Board will have the authority, without further action by stockholders,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issue up to 250,000,000 shares of undesignated Preferred Stock with rights, powers and preferences, including voting rights, designated from time to time by the Board. The existence of authorized but unissued shares of Preferred Stock would enable the Board to render more difficult or to discourage an attempt to obtain control of the Company by means of a tender offer, proxy contest, or other means.</w:t>
      </w:r>
    </w:p>
    <w:p>
      <w:pPr>
        <w:spacing w:after="0" w:line="162" w:lineRule="exact"/>
        <w:rPr>
          <w:rFonts w:ascii="Times New Roman" w:cs="Times New Roman" w:eastAsia="Times New Roman" w:hAnsi="Times New Roman"/>
          <w:sz w:val="14"/>
          <w:szCs w:val="14"/>
          <w:color w:val="auto"/>
        </w:rPr>
      </w:pPr>
    </w:p>
    <w:p>
      <w:pPr>
        <w:jc w:val="both"/>
        <w:ind w:left="520" w:hanging="260"/>
        <w:spacing w:after="0" w:line="238"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Exclusive Forum. </w:t>
      </w:r>
      <w:r>
        <w:rPr>
          <w:rFonts w:ascii="Times New Roman" w:cs="Times New Roman" w:eastAsia="Times New Roman" w:hAnsi="Times New Roman"/>
          <w:sz w:val="14"/>
          <w:szCs w:val="14"/>
          <w:color w:val="auto"/>
        </w:rPr>
        <w:t>The Amended and Restated Bylaws provide that, unless otherwise consented to by the Company in writing, the Court of Chancery of the State of Delaware (or, if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any director, stockholder, officer or other employee of the Company to the Company or the Company’s stockholders, (iii) any action arising pursuant to any provision of the DGCL or the Amended and Restated Certificate of Incorporation or the Amended and Restated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This provision would not apply to suits brought to enforce a duty or liability created by the Exchange Act or any other claim for which the U.S. federal courts have exclusive jurisdiction. The Amended and Restated Bylaws further provide that, unless otherwise consented to by the Company in writing, the federal district courts of the United States will be the sole and exclusive forum for the resolution of any complaint asserting a cause of action arising under the Securities Act of 1933 (the “Securities Act”) against any person in connection with any offering of the Company’s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Amended and Restated Bylaws. However, there can be no assurance that the provision will be enforced by a court in those other jurisdictions. Any person or entity purchasing, holding, or otherwise acquiring any interest in the Company’s securities shall be deemed to have notice of and consented to these provisions. These provisions may have the effect of discouraging lawsuits against the Company or its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A person who has beneficially owned restricted shares of Common Stock or Special Voting Common Stock for at least six months would be entitled to sell their shares provided that (i) such person is not deemed to have been one of the Company’s affiliates at the time of, or at any time during the three months preceding, a sale and (ii) the Company is subject to the Exchange Act periodic reporting requirements for at least three months before the sale and has filed all required reports under Section 13 or 15(d) of the Exchange Act during the 12 months (or such shorter period as the Company was required to file reports). Persons who have beneficially owned restricted shares</w:t>
      </w:r>
    </w:p>
    <w:p>
      <w:pPr>
        <w:sectPr>
          <w:pgSz w:w="11900" w:h="16838" w:orient="portrait"/>
          <w:cols w:equalWidth="0" w:num="1">
            <w:col w:w="11280"/>
          </w:cols>
          <w:pgMar w:left="300" w:top="1133" w:right="319" w:bottom="1440" w:gutter="0" w:footer="0" w:header="0"/>
        </w:sectPr>
      </w:pPr>
    </w:p>
    <w:bookmarkStart w:id="171" w:name="page172"/>
    <w:bookmarkEnd w:id="171"/>
    <w:p>
      <w:pPr>
        <w:spacing w:after="0" w:line="271" w:lineRule="auto"/>
        <w:rPr>
          <w:sz w:val="20"/>
          <w:szCs w:val="20"/>
          <w:color w:val="auto"/>
        </w:rPr>
      </w:pPr>
      <w:r>
        <w:rPr>
          <w:rFonts w:ascii="Times New Roman" w:cs="Times New Roman" w:eastAsia="Times New Roman" w:hAnsi="Times New Roman"/>
          <w:sz w:val="14"/>
          <w:szCs w:val="14"/>
          <w:color w:val="auto"/>
        </w:rPr>
        <w:t>of Common Stock or Special Voting Common Stock for at least six months but who are the Company’s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66" w:lineRule="exact"/>
        <w:rPr>
          <w:sz w:val="20"/>
          <w:szCs w:val="20"/>
          <w:color w:val="auto"/>
        </w:rPr>
      </w:pPr>
    </w:p>
    <w:p>
      <w:pPr>
        <w:ind w:left="500" w:hanging="240"/>
        <w:spacing w:after="0"/>
        <w:tabs>
          <w:tab w:leader="none" w:pos="5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1% of the number of shares then outstanding; and</w:t>
      </w:r>
    </w:p>
    <w:p>
      <w:pPr>
        <w:spacing w:after="0" w:line="197" w:lineRule="exact"/>
        <w:rPr>
          <w:rFonts w:ascii="Times New Roman" w:cs="Times New Roman" w:eastAsia="Times New Roman" w:hAnsi="Times New Roman"/>
          <w:sz w:val="17"/>
          <w:szCs w:val="17"/>
          <w:color w:val="auto"/>
        </w:rPr>
      </w:pPr>
    </w:p>
    <w:p>
      <w:pPr>
        <w:ind w:left="260" w:right="1280"/>
        <w:spacing w:after="0" w:line="470" w:lineRule="auto"/>
        <w:tabs>
          <w:tab w:leader="none" w:pos="51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average weekly trading volume of the shares of common stock during the four calendar weeks preceding the filing of a notice on Form 144 with respect to the sale. Sales under Rule 144 are also limited by manner of sale provisions and notice requirements and to the availability of current public information about the Company.</w:t>
      </w:r>
    </w:p>
    <w:p>
      <w:pPr>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9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At the consummation of the Business Combination, the Company entered into that certain Registration Rights Agreement (the “Registration Rights Agreement”). The Registration Rights Holders and any person or entity who hereafter becomes a party to the Registration Rights Agreement, a “Holder” and collectively the “Holders,” will be entitled to registration rights pursuant to the terms of the Registration Rights Agreement.</w:t>
      </w:r>
    </w:p>
    <w:p>
      <w:pPr>
        <w:spacing w:after="0" w:line="1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Pursuant to the Registration Rights Agreement, the Company filed a shelf registration statement registering the resale of the Holders’ shares on Form S-1 (File No. 333-251663) with the SEC on January 31, 2022 (which was converted into a Form S-3 in a post-effective amendment filed on March 23, 2023). The Holders are each entitled to make up to six demands for registration, excluding short form demands, that the Company register the shares held by these parties. In addition, the Holders have certain “piggy-back” registration rights. Holders who are Sonder Stockholders and not affiliates (as defined under Rule 144 under the Securities Act) of the Company are not entitled to registration rights with respect to shelf underwritten offerings and demand registrations initiated by the Gores Holders (as defined in the Registration Rights Agreement). The Company will bear the expenses incurred in connection with the filing of any registration statements filed pursuant to the terms of the Registration Rights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Amended and Restated Certificate of Incorporation limits the Company’s directors’ liability to the fullest extent permitted under the DGCL. The DGCL provides that directors of a corporation will not be personally liable for monetary damages for breach of their fiduciary duties as directors, except for liability:</w:t>
      </w:r>
    </w:p>
    <w:p>
      <w:pPr>
        <w:spacing w:after="0" w:line="166" w:lineRule="exact"/>
        <w:rPr>
          <w:sz w:val="20"/>
          <w:szCs w:val="20"/>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 any transaction from which the director derives an improper personal benefit;</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 any act or omission not in good faith or that involves intentional misconduct or a knowing violation of law;</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 any unlawful payment of dividends or redemption of shares; or</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For any breach of a director’s duty of loyalty to the corporation or its stockholders.</w:t>
      </w:r>
    </w:p>
    <w:p>
      <w:pPr>
        <w:spacing w:after="0" w:line="166"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personal liability of directors, then the liability of the Company’s directors will be eliminated or limited to the fullest extent permitted by the DGCL, as so amended. The DGCL and the Amended and Restated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6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addition, the Company has entered into and will continue to enter into separate indemnification agreements with the Company’s directors and officers. These agreements, among other things, require the Company to</w:t>
      </w:r>
    </w:p>
    <w:p>
      <w:pPr>
        <w:sectPr>
          <w:pgSz w:w="11900" w:h="16838" w:orient="portrait"/>
          <w:cols w:equalWidth="0" w:num="1">
            <w:col w:w="11280"/>
          </w:cols>
          <w:pgMar w:left="300" w:top="1132" w:right="319" w:bottom="1440" w:gutter="0" w:footer="0" w:header="0"/>
        </w:sectPr>
      </w:pPr>
    </w:p>
    <w:bookmarkStart w:id="172" w:name="page173"/>
    <w:bookmarkEnd w:id="172"/>
    <w:p>
      <w:pPr>
        <w:jc w:val="both"/>
        <w:spacing w:after="0" w:line="271" w:lineRule="auto"/>
        <w:rPr>
          <w:sz w:val="20"/>
          <w:szCs w:val="20"/>
          <w:color w:val="auto"/>
        </w:rPr>
      </w:pPr>
      <w:r>
        <w:rPr>
          <w:rFonts w:ascii="Times New Roman" w:cs="Times New Roman" w:eastAsia="Times New Roman" w:hAnsi="Times New Roman"/>
          <w:sz w:val="14"/>
          <w:szCs w:val="14"/>
          <w:color w:val="auto"/>
        </w:rPr>
        <w:t>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4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Company plans to maintain a directors’ and officers’ insurance policy pursuant to which the Company’s directors and officers are insured against liability for actions taken in their capacities as directors and officers. The Company believes these provisions in the Amended and Restated Certificate of Incorporation and the Amended and Restated Bylaws and these indemnification agreements and insurance arrangements are necessary to attract and retain qualified persons as directors and officers.</w:t>
      </w:r>
    </w:p>
    <w:p>
      <w:pPr>
        <w:spacing w:after="0" w:line="1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As of the date of the Annual Report on Form 10-K of which this Exhibit 4.8 is a part, our Common Stock is listed on the NASDAQ Global Select Market under the symbol “SOND” and our Public Warrants are listed on the NASDAQ Capital Market under the symbol “SONDW.”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Company’s Common Stock is Computershare Inc.</w:t>
      </w:r>
    </w:p>
    <w:p>
      <w:pPr>
        <w:sectPr>
          <w:pgSz w:w="11900" w:h="16838" w:orient="portrait"/>
          <w:cols w:equalWidth="0" w:num="1">
            <w:col w:w="11280"/>
          </w:cols>
          <w:pgMar w:left="300" w:top="1133" w:right="31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7"/>
          <w:szCs w:val="17"/>
          <w:b w:val="1"/>
          <w:bCs w:val="1"/>
          <w:color w:val="auto"/>
        </w:rPr>
        <w:t>SONDER HOLDINGS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PERFORMANCE STOCK UNIT AWARD AND GLOBAL PERFORMANCE STOCK UNIT AGREEMENT</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Sonder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you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Performance Stock Unit award described below (the “</w:t>
      </w:r>
      <w:r>
        <w:rPr>
          <w:rFonts w:ascii="Times New Roman" w:cs="Times New Roman" w:eastAsia="Times New Roman" w:hAnsi="Times New Roman"/>
          <w:sz w:val="17"/>
          <w:szCs w:val="17"/>
          <w:b w:val="1"/>
          <w:bCs w:val="1"/>
          <w:i w:val="1"/>
          <w:iCs w:val="1"/>
          <w:color w:val="auto"/>
        </w:rPr>
        <w:t>PSUs</w:t>
      </w:r>
      <w:r>
        <w:rPr>
          <w:rFonts w:ascii="Times New Roman" w:cs="Times New Roman" w:eastAsia="Times New Roman" w:hAnsi="Times New Roman"/>
          <w:sz w:val="17"/>
          <w:szCs w:val="17"/>
          <w:color w:val="auto"/>
        </w:rPr>
        <w:t>”) pursuant to its 2021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The PSUs are subject to the terms and conditions set forth in this Notice of Performance Stock Unit Award and Performance Stock Unit Agreement (the “</w:t>
      </w:r>
      <w:r>
        <w:rPr>
          <w:rFonts w:ascii="Times New Roman" w:cs="Times New Roman" w:eastAsia="Times New Roman" w:hAnsi="Times New Roman"/>
          <w:sz w:val="17"/>
          <w:szCs w:val="17"/>
          <w:b w:val="1"/>
          <w:bCs w:val="1"/>
          <w:i w:val="1"/>
          <w:iCs w:val="1"/>
          <w:color w:val="auto"/>
        </w:rPr>
        <w:t>Notice of Grant</w:t>
      </w:r>
      <w:r>
        <w:rPr>
          <w:rFonts w:ascii="Times New Roman" w:cs="Times New Roman" w:eastAsia="Times New Roman" w:hAnsi="Times New Roman"/>
          <w:sz w:val="17"/>
          <w:szCs w:val="17"/>
          <w:color w:val="auto"/>
        </w:rPr>
        <w:t xml:space="preserve">”), the Terms and Conditions of Performance Stock Unit Award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any additional terms and conditions for your country set forth in the Appendix B to Performance Stock Unit Agreement for Non-U.S. Participants (the “</w:t>
      </w:r>
      <w:r>
        <w:rPr>
          <w:rFonts w:ascii="Times New Roman" w:cs="Times New Roman" w:eastAsia="Times New Roman" w:hAnsi="Times New Roman"/>
          <w:sz w:val="17"/>
          <w:szCs w:val="17"/>
          <w:b w:val="1"/>
          <w:bCs w:val="1"/>
          <w:i w:val="1"/>
          <w:iCs w:val="1"/>
          <w:color w:val="auto"/>
        </w:rPr>
        <w:t>Appendix</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and all other exhibits and appendices to these documents (all together,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and the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terms that are not defined in this Agreement have the meanings given to them in the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Participant </w:t>
      </w:r>
      <w:r>
        <w:rPr>
          <w:rFonts w:ascii="Times New Roman" w:cs="Times New Roman" w:eastAsia="Times New Roman" w:hAnsi="Times New Roman"/>
          <w:sz w:val="17"/>
          <w:szCs w:val="17"/>
          <w:u w:val="single" w:color="auto"/>
          <w:color w:val="auto"/>
        </w:rPr>
        <w:t>____________________________________</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Participant I.D. </w:t>
      </w:r>
      <w:r>
        <w:rPr>
          <w:rFonts w:ascii="Times New Roman" w:cs="Times New Roman" w:eastAsia="Times New Roman" w:hAnsi="Times New Roman"/>
          <w:sz w:val="17"/>
          <w:szCs w:val="17"/>
          <w:u w:val="single" w:color="auto"/>
          <w:color w:val="auto"/>
        </w:rPr>
        <w:t>____________________________________</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Grant Number </w:t>
      </w:r>
      <w:r>
        <w:rPr>
          <w:rFonts w:ascii="Times New Roman" w:cs="Times New Roman" w:eastAsia="Times New Roman" w:hAnsi="Times New Roman"/>
          <w:sz w:val="17"/>
          <w:szCs w:val="17"/>
          <w:u w:val="single" w:color="auto"/>
          <w:color w:val="auto"/>
        </w:rPr>
        <w:t>____________________________________</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Grant Date </w:t>
      </w:r>
      <w:r>
        <w:rPr>
          <w:rFonts w:ascii="Times New Roman" w:cs="Times New Roman" w:eastAsia="Times New Roman" w:hAnsi="Times New Roman"/>
          <w:sz w:val="17"/>
          <w:szCs w:val="17"/>
          <w:u w:val="single" w:color="auto"/>
          <w:color w:val="auto"/>
        </w:rPr>
        <w:t>____________________________________</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Vesting Commencement Date </w:t>
      </w:r>
      <w:r>
        <w:rPr>
          <w:rFonts w:ascii="Times New Roman" w:cs="Times New Roman" w:eastAsia="Times New Roman" w:hAnsi="Times New Roman"/>
          <w:sz w:val="17"/>
          <w:szCs w:val="17"/>
          <w:u w:val="single" w:color="auto"/>
          <w:color w:val="auto"/>
        </w:rPr>
        <w:t>____________________________________</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Number of PSUs Granted </w:t>
      </w:r>
      <w:r>
        <w:rPr>
          <w:rFonts w:ascii="Times New Roman" w:cs="Times New Roman" w:eastAsia="Times New Roman" w:hAnsi="Times New Roman"/>
          <w:sz w:val="17"/>
          <w:szCs w:val="17"/>
          <w:u w:val="single" w:color="auto"/>
          <w:color w:val="auto"/>
        </w:rPr>
        <w:t>____________________________________</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Vesting Schedule: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Subject to the acceleration of vesting provisions herein, the PSUs are subject to Performance Conditions (as defined below) and in order for any portion of the PSUs to vest, the Performance Conditions must be met:</w:t>
      </w:r>
    </w:p>
    <w:p>
      <w:pPr>
        <w:spacing w:after="0" w:line="140" w:lineRule="exact"/>
        <w:rPr>
          <w:sz w:val="20"/>
          <w:szCs w:val="20"/>
          <w:color w:val="auto"/>
        </w:rPr>
      </w:pPr>
    </w:p>
    <w:p>
      <w:pPr>
        <w:ind w:left="680" w:hanging="166"/>
        <w:spacing w:after="0"/>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Performance Vesting</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both"/>
        <w:ind w:firstLine="514"/>
        <w:spacing w:after="0" w:line="238" w:lineRule="auto"/>
        <w:tabs>
          <w:tab w:leader="none" w:pos="7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Participant will be eligible to receive Target PSUs depending on the extent to which the performance-based vesting conditions described in </w:t>
      </w:r>
      <w:r>
        <w:rPr>
          <w:rFonts w:ascii="Times New Roman" w:cs="Times New Roman" w:eastAsia="Times New Roman" w:hAnsi="Times New Roman"/>
          <w:sz w:val="17"/>
          <w:szCs w:val="17"/>
          <w:u w:val="single" w:color="auto"/>
          <w:color w:val="auto"/>
        </w:rPr>
        <w:t>Appendix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Performance Conditions</w:t>
      </w:r>
      <w:r>
        <w:rPr>
          <w:rFonts w:ascii="Times New Roman" w:cs="Times New Roman" w:eastAsia="Times New Roman" w:hAnsi="Times New Roman"/>
          <w:sz w:val="17"/>
          <w:szCs w:val="17"/>
          <w:color w:val="auto"/>
        </w:rPr>
        <w:t>”) are satisfied during the Performance Period (as defined in Appendix A), subject to the Participant’s continued service with the Company through the vesting date. PSUs that do not vest in accordance with the Performance Conditions as of the Certification Date (as defined in Appendix A) shall be immediately forfeited for no consideration as of the Certification Date. In all cases, if the number of PSUs specified above does not result in a whole number, then no fractional PSUs shall vest.</w:t>
      </w:r>
    </w:p>
    <w:p>
      <w:pPr>
        <w:sectPr>
          <w:pgSz w:w="11900" w:h="16838" w:orient="portrait"/>
          <w:cols w:equalWidth="0" w:num="1">
            <w:col w:w="11280"/>
          </w:cols>
          <w:pgMar w:left="300" w:top="1133" w:right="319" w:bottom="1440" w:gutter="0" w:footer="0" w:header="0"/>
        </w:sectPr>
      </w:pPr>
    </w:p>
    <w:bookmarkStart w:id="174" w:name="page175"/>
    <w:bookmarkEnd w:id="174"/>
    <w:p>
      <w:pPr>
        <w:spacing w:after="0" w:line="263" w:lineRule="auto"/>
        <w:rPr>
          <w:sz w:val="20"/>
          <w:szCs w:val="20"/>
          <w:color w:val="auto"/>
        </w:rPr>
      </w:pPr>
      <w:r>
        <w:rPr>
          <w:rFonts w:ascii="Times New Roman" w:cs="Times New Roman" w:eastAsia="Times New Roman" w:hAnsi="Times New Roman"/>
          <w:sz w:val="17"/>
          <w:szCs w:val="17"/>
          <w:color w:val="auto"/>
        </w:rPr>
        <w:t>If the Participant ceases to be a Service Provider for any or no reason before he or she fully vests in these PSUs, the unvested PSUs will terminate according to the terms of Section 5 of this Agreement.</w:t>
      </w:r>
    </w:p>
    <w:p>
      <w:pPr>
        <w:spacing w:after="0" w:line="1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Participant’s signature below (or Participant’s electronic signature or other electronic acknowledgement or acceptance of this Agreement or Award) indicates that:</w:t>
      </w:r>
    </w:p>
    <w:p>
      <w:pPr>
        <w:spacing w:after="0" w:line="144" w:lineRule="exact"/>
        <w:rPr>
          <w:sz w:val="20"/>
          <w:szCs w:val="20"/>
          <w:color w:val="auto"/>
        </w:rPr>
      </w:pPr>
    </w:p>
    <w:p>
      <w:pPr>
        <w:ind w:left="520" w:hanging="260"/>
        <w:spacing w:after="0" w:line="263" w:lineRule="auto"/>
        <w:tabs>
          <w:tab w:leader="none" w:pos="51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or she agrees that this Award is granted under and governed by the terms and conditions of the Plan and this Agreement, including their exhibits and appendices.</w:t>
      </w:r>
    </w:p>
    <w:p>
      <w:pPr>
        <w:spacing w:after="0" w:line="133" w:lineRule="exact"/>
        <w:rPr>
          <w:rFonts w:ascii="Times New Roman" w:cs="Times New Roman" w:eastAsia="Times New Roman" w:hAnsi="Times New Roman"/>
          <w:sz w:val="17"/>
          <w:szCs w:val="17"/>
          <w:color w:val="auto"/>
        </w:rPr>
      </w:pPr>
    </w:p>
    <w:p>
      <w:pPr>
        <w:ind w:left="520" w:hanging="260"/>
        <w:spacing w:after="0" w:line="263" w:lineRule="auto"/>
        <w:tabs>
          <w:tab w:leader="none" w:pos="51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or she understands that the Company is not providing any tax, legal, or financial advice and is not making any recommendations regarding his or her participation in the Plan or his or her acquisition or sale of Shares.</w:t>
      </w:r>
    </w:p>
    <w:p>
      <w:pPr>
        <w:spacing w:after="0" w:line="144" w:lineRule="exact"/>
        <w:rPr>
          <w:sz w:val="20"/>
          <w:szCs w:val="20"/>
          <w:color w:val="auto"/>
        </w:rPr>
      </w:pPr>
    </w:p>
    <w:p>
      <w:pPr>
        <w:jc w:val="both"/>
        <w:ind w:left="520" w:hanging="254"/>
        <w:spacing w:after="0" w:line="249" w:lineRule="auto"/>
        <w:rPr>
          <w:sz w:val="20"/>
          <w:szCs w:val="20"/>
          <w:color w:val="auto"/>
        </w:rPr>
      </w:pPr>
      <w:r>
        <w:rPr>
          <w:rFonts w:ascii="Times New Roman" w:cs="Times New Roman" w:eastAsia="Times New Roman" w:hAnsi="Times New Roman"/>
          <w:sz w:val="17"/>
          <w:szCs w:val="17"/>
          <w:color w:val="auto"/>
        </w:rPr>
        <w:t>(iii)He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(iv)He or she has read and agrees to each provision of Section 9 of this Agreement.</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(v) He or she will notify the Company of any change to the contact address below.</w:t>
      </w:r>
    </w:p>
    <w:p>
      <w:pPr>
        <w:spacing w:after="0" w:line="186" w:lineRule="exact"/>
        <w:rPr>
          <w:sz w:val="20"/>
          <w:szCs w:val="20"/>
          <w:color w:val="auto"/>
        </w:rPr>
      </w:pPr>
    </w:p>
    <w:p>
      <w:pPr>
        <w:jc w:val="both"/>
        <w:ind w:left="520" w:hanging="254"/>
        <w:spacing w:after="0" w:line="263" w:lineRule="auto"/>
        <w:rPr>
          <w:sz w:val="20"/>
          <w:szCs w:val="20"/>
          <w:color w:val="auto"/>
        </w:rPr>
      </w:pPr>
      <w:r>
        <w:rPr>
          <w:rFonts w:ascii="Times New Roman" w:cs="Times New Roman" w:eastAsia="Times New Roman" w:hAnsi="Times New Roman"/>
          <w:sz w:val="17"/>
          <w:szCs w:val="17"/>
          <w:color w:val="auto"/>
        </w:rPr>
        <w:t>(vi)He or she acknowledges and agrees that unless otherwise required to comply with Applicable Laws, these PSUs will be subject to recoupment under the Company’s Compensation Recovery Policy.</w:t>
      </w:r>
    </w:p>
    <w:p>
      <w:pPr>
        <w:spacing w:after="0" w:line="140" w:lineRule="exact"/>
        <w:rPr>
          <w:sz w:val="20"/>
          <w:szCs w:val="20"/>
          <w:color w:val="auto"/>
        </w:rPr>
      </w:pPr>
    </w:p>
    <w:p>
      <w:pPr>
        <w:ind w:left="520" w:hanging="260"/>
        <w:spacing w:after="0" w:line="268" w:lineRule="auto"/>
        <w:tabs>
          <w:tab w:leader="none" w:pos="102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The following Data Privacy Declaration of Consent Applies to Participants in All Countries in the European Economic Area and United Kingdom</w:t>
      </w:r>
      <w:r>
        <w:rPr>
          <w:rFonts w:ascii="Times New Roman" w:cs="Times New Roman" w:eastAsia="Times New Roman" w:hAnsi="Times New Roman"/>
          <w:sz w:val="17"/>
          <w:szCs w:val="17"/>
          <w:b w:val="1"/>
          <w:bCs w:val="1"/>
          <w:i w:val="1"/>
          <w:iCs w:val="1"/>
          <w:color w:val="auto"/>
        </w:rPr>
        <w:t>:</w:t>
      </w:r>
    </w:p>
    <w:p>
      <w:pPr>
        <w:spacing w:after="0" w:line="126" w:lineRule="exact"/>
        <w:rPr>
          <w:sz w:val="20"/>
          <w:szCs w:val="20"/>
          <w:color w:val="auto"/>
        </w:rPr>
      </w:pPr>
    </w:p>
    <w:p>
      <w:pPr>
        <w:jc w:val="both"/>
        <w:ind w:firstLine="764"/>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In order to grant these PSUs and to implement, administer and manage the Plan, the Company needs to collect, use and otherwise process the Participant’s personal data. He or she explicitly declares his or her consent to the data processing operations described in Section 10 “Data Privacy Consent” of the Terms and Conditions of Performance Stock Unit Award. This includes, without limitation, the transfer of his or her personal data to, and the processing of such data by its stock plan administrator and any additional service provider. He or she may withdraw consent at any time, with future effect and for any or no reason described in Section 10(f).</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ectPr>
          <w:pgSz w:w="11900" w:h="16838" w:orient="portrait"/>
          <w:cols w:equalWidth="0" w:num="1">
            <w:col w:w="11280"/>
          </w:cols>
          <w:pgMar w:left="300" w:top="1137" w:right="319" w:bottom="1440" w:gutter="0" w:footer="0" w:header="0"/>
        </w:sectPr>
      </w:pPr>
    </w:p>
    <w:bookmarkStart w:id="175" w:name="page176"/>
    <w:bookmarkEnd w:id="175"/>
    <w:p>
      <w:pPr>
        <w:jc w:val="center"/>
        <w:ind w:right="26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TERMS AND CONDITIONS OF PERFORMANCE STOCK UNIT AWARD</w:t>
      </w:r>
    </w:p>
    <w:p>
      <w:pPr>
        <w:spacing w:after="0" w:line="190" w:lineRule="exact"/>
        <w:rPr>
          <w:sz w:val="20"/>
          <w:szCs w:val="20"/>
          <w:color w:val="auto"/>
        </w:rPr>
      </w:pPr>
    </w:p>
    <w:p>
      <w:pPr>
        <w:jc w:val="both"/>
        <w:ind w:left="260" w:hanging="260"/>
        <w:spacing w:after="0" w:line="238" w:lineRule="auto"/>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The Company grants the Participant an award of PSUs as described in the Notice of Grant. Except as otherwise provided in Section 4(b)(i) and (ii) below, if there is a conflict between the Plan, this Agreement, or any other plan or agreement with the Participant governing these PSUs, including, for the avoidance of doubt, the Key Executive Plan (as defined in Section 4(b) below) and related agreements, those documents will take precedence and prevail in the following order: (a) the Plan, (b) the Agreement, and (c) any other agreement between the Company and the Participant governing these PSUs, including the Key Executive Plan and related agreements.</w:t>
      </w:r>
    </w:p>
    <w:p>
      <w:pPr>
        <w:spacing w:after="0" w:line="165" w:lineRule="exact"/>
        <w:rPr>
          <w:rFonts w:ascii="Times New Roman" w:cs="Times New Roman" w:eastAsia="Times New Roman" w:hAnsi="Times New Roman"/>
          <w:sz w:val="17"/>
          <w:szCs w:val="17"/>
          <w:color w:val="auto"/>
        </w:rPr>
      </w:pPr>
    </w:p>
    <w:p>
      <w:pPr>
        <w:jc w:val="both"/>
        <w:ind w:left="260" w:hanging="260"/>
        <w:spacing w:after="0" w:line="236" w:lineRule="auto"/>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Obligation to Pay</w:t>
      </w:r>
      <w:r>
        <w:rPr>
          <w:rFonts w:ascii="Times New Roman" w:cs="Times New Roman" w:eastAsia="Times New Roman" w:hAnsi="Times New Roman"/>
          <w:sz w:val="17"/>
          <w:szCs w:val="17"/>
          <w:color w:val="auto"/>
        </w:rPr>
        <w:t>. Each PSU is a right to receive a Share on the date it vests as further described in Section 3 below. Until a PSU vests, the Participant has no right to payment of the Share. Before a vested PSU is paid, the PSU is an unsecured obligation of the Company, payable (if at all) only from the Company’s general assets. A vested PSU will be paid to the Participant (or in the event of his or her death, to his or her estate or such other person as specified in Section 6 below) in whole Shares. Subject to the provisions of Section 4(c) and notwithstanding anything in the Plan to the contrary, each vested PSU that has met all requirements for settlement under this Agreement will be settled no later than the applicable Settlement Deadline. “Settlement Deadline” with respect to a particular vested PSU, will be as soon as practicable after vesting but no later than ninety (90) days following the last day of the applicable Performance Period (as defined in Appendix A), and for purposes of Participants who are U.S. taxpayers, no later than March 15 of the calendar year following the calendar year that contains the last day of the Performance Period (or such earlier vesting acceleration event arising under Section 4 below). If any PSU has not met all the requirements for settlement under this Agreement in a manner that would allow it to be settled by the applicable Settlement Deadline, such PSU will be forfeited as of immediately following the applicable Settlement Deadline. In no event will Participant be permitted, directly or indirectly, to specify the taxable year or date of settlement of any PSUs under this Agreement. For the avoidance of doubt, there may be multiple Settlement Deadlines, with each such Settlement Deadline corresponding to a particular PSU.</w:t>
      </w:r>
    </w:p>
    <w:p>
      <w:pPr>
        <w:spacing w:after="0" w:line="165" w:lineRule="exact"/>
        <w:rPr>
          <w:rFonts w:ascii="Times New Roman" w:cs="Times New Roman" w:eastAsia="Times New Roman" w:hAnsi="Times New Roman"/>
          <w:sz w:val="17"/>
          <w:szCs w:val="17"/>
          <w:color w:val="auto"/>
        </w:rPr>
      </w:pPr>
    </w:p>
    <w:p>
      <w:pPr>
        <w:jc w:val="both"/>
        <w:ind w:left="260" w:hanging="260"/>
        <w:spacing w:after="0" w:line="249" w:lineRule="auto"/>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These PSUs will vest only under the Performance Conditions in the Notice of Grant, subject to adjustment under Section 4 of this Agreement and Section 13 of the Plan. PSUs scheduled to vest on a certain date or upon the occurrence of a certain condition will not vest unless the Participant continues to be a Service Provider until the time such vesting is scheduled to occur.</w:t>
      </w:r>
    </w:p>
    <w:p>
      <w:pPr>
        <w:spacing w:after="0" w:line="155" w:lineRule="exact"/>
        <w:rPr>
          <w:rFonts w:ascii="Times New Roman" w:cs="Times New Roman" w:eastAsia="Times New Roman" w:hAnsi="Times New Roman"/>
          <w:sz w:val="17"/>
          <w:szCs w:val="17"/>
          <w:color w:val="auto"/>
        </w:rPr>
      </w:pPr>
    </w:p>
    <w:p>
      <w:pPr>
        <w:ind w:left="260" w:hanging="260"/>
        <w:spacing w:after="0"/>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Amendment</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color w:val="auto"/>
        </w:rPr>
      </w:pPr>
    </w:p>
    <w:p>
      <w:pPr>
        <w:jc w:val="both"/>
        <w:ind w:left="760" w:hanging="251"/>
        <w:spacing w:after="0" w:line="237" w:lineRule="auto"/>
        <w:tabs>
          <w:tab w:leader="none" w:pos="758"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Discretionary Acceleration or Amendment</w:t>
      </w:r>
      <w:r>
        <w:rPr>
          <w:rFonts w:ascii="Times New Roman" w:cs="Times New Roman" w:eastAsia="Times New Roman" w:hAnsi="Times New Roman"/>
          <w:sz w:val="17"/>
          <w:szCs w:val="17"/>
          <w:color w:val="auto"/>
        </w:rPr>
        <w:t xml:space="preserve">. Subject to Section 4(b) below, the Administrator may, pursuant to its authority under, and in accordance with the terms of the Plan, in its discretion, unilaterally (x) accelerate, in whole or in part, the vesting of these PSUs, (y) waive or decrease some or all of the requirements required for vesting of unvested PSUs at any time, or (z) waive or decrease some or all of the requirements for settlement of PSUs at any time, in each case, subject to the terms of the Plan but without the need for Participant consent in any instance, and subject to Section 13(j)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acceleration, waiver or decrease shall occur or be effective unless such modification would result in this PSU award remaining exempt or excepted from the requirements of Code Section 409A pursuant to the “short-term deferral” exception or another exception or exemption under Code Section 409A,</w:t>
      </w:r>
    </w:p>
    <w:p>
      <w:pPr>
        <w:sectPr>
          <w:pgSz w:w="11900" w:h="16838" w:orient="portrait"/>
          <w:cols w:equalWidth="0" w:num="1">
            <w:col w:w="11020"/>
          </w:cols>
          <w:pgMar w:left="560" w:top="1133" w:right="319" w:bottom="1440" w:gutter="0" w:footer="0" w:header="0"/>
        </w:sectPr>
      </w:pPr>
    </w:p>
    <w:bookmarkStart w:id="176" w:name="page177"/>
    <w:bookmarkEnd w:id="176"/>
    <w:p>
      <w:pPr>
        <w:jc w:val="both"/>
        <w:ind w:left="251"/>
        <w:spacing w:after="0" w:line="237" w:lineRule="auto"/>
        <w:rPr>
          <w:sz w:val="20"/>
          <w:szCs w:val="20"/>
          <w:color w:val="auto"/>
        </w:rPr>
      </w:pPr>
      <w:r>
        <w:rPr>
          <w:rFonts w:ascii="Times New Roman" w:cs="Times New Roman" w:eastAsia="Times New Roman" w:hAnsi="Times New Roman"/>
          <w:sz w:val="17"/>
          <w:szCs w:val="17"/>
          <w:color w:val="auto"/>
        </w:rPr>
        <w:t>or otherwise complying with Code Section 409A, in each case such that none of this Agreement, the PSUs provided under this Agreement, or Shares issuable hereunder will be subject to the additional tax imposed under Code Section 409A. If so modified, the vesting date with respect to the applicable PSUs will be deemed for all purposes of this Agreement to be the date specified by the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determining the applicable Settlement Deadline under Section 1 of this Agreement with respect to such PSUs, the vesting date will be deemed to be no later than the first date on which the PSUs are no longer subject to a substantial risk of forfeiture for purposes of Code Section 409A). The settlement of the PSUs in Shares pursuant to this Section 4(a) shall in all cases be no later than the applicable Settlement Deadline as set forth in Section 2 above and at a time or in a manner that is exempt from, or complies with, Code Section 409A. The prior sentence may be superseded in a future agreement or amendment to this Agreement only by direct and specific reference to such sentence.</w:t>
      </w:r>
    </w:p>
    <w:p>
      <w:pPr>
        <w:spacing w:after="0" w:line="164" w:lineRule="exact"/>
        <w:rPr>
          <w:sz w:val="20"/>
          <w:szCs w:val="20"/>
          <w:color w:val="auto"/>
        </w:rPr>
      </w:pPr>
    </w:p>
    <w:p>
      <w:pPr>
        <w:ind w:left="251" w:hanging="251"/>
        <w:spacing w:after="0"/>
        <w:tabs>
          <w:tab w:leader="none" w:pos="25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Upon Change in Control; Certain Qualifying Terminations.</w:t>
      </w:r>
    </w:p>
    <w:p>
      <w:pPr>
        <w:spacing w:after="0" w:line="186" w:lineRule="exact"/>
        <w:rPr>
          <w:rFonts w:ascii="Times New Roman" w:cs="Times New Roman" w:eastAsia="Times New Roman" w:hAnsi="Times New Roman"/>
          <w:sz w:val="17"/>
          <w:szCs w:val="17"/>
          <w:color w:val="auto"/>
        </w:rPr>
      </w:pPr>
    </w:p>
    <w:p>
      <w:pPr>
        <w:ind w:left="771" w:hanging="422"/>
        <w:spacing w:after="0" w:line="263" w:lineRule="auto"/>
        <w:tabs>
          <w:tab w:leader="none" w:pos="77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treatment provided under Section 3(a) of the Appendix shall apply upon a Change in Control instead of any vesting treatment that may be contemplated under the Plan or any other agreement.</w:t>
      </w:r>
    </w:p>
    <w:p>
      <w:pPr>
        <w:spacing w:after="0" w:line="144" w:lineRule="exact"/>
        <w:rPr>
          <w:rFonts w:ascii="Times New Roman" w:cs="Times New Roman" w:eastAsia="Times New Roman" w:hAnsi="Times New Roman"/>
          <w:sz w:val="17"/>
          <w:szCs w:val="17"/>
          <w:color w:val="auto"/>
        </w:rPr>
      </w:pPr>
    </w:p>
    <w:p>
      <w:pPr>
        <w:jc w:val="both"/>
        <w:ind w:left="771" w:hanging="469"/>
        <w:spacing w:after="0" w:line="241" w:lineRule="auto"/>
        <w:tabs>
          <w:tab w:leader="none" w:pos="77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is eligible for benefits under the Company’s 2021 or 2023 Key Executive and Change in Control Plan, as applicable (the “</w:t>
      </w:r>
      <w:r>
        <w:rPr>
          <w:rFonts w:ascii="Times New Roman" w:cs="Times New Roman" w:eastAsia="Times New Roman" w:hAnsi="Times New Roman"/>
          <w:sz w:val="17"/>
          <w:szCs w:val="17"/>
          <w:u w:val="single" w:color="auto"/>
          <w:color w:val="auto"/>
        </w:rPr>
        <w:t>Key Executive Plan</w:t>
      </w:r>
      <w:r>
        <w:rPr>
          <w:rFonts w:ascii="Times New Roman" w:cs="Times New Roman" w:eastAsia="Times New Roman" w:hAnsi="Times New Roman"/>
          <w:sz w:val="17"/>
          <w:szCs w:val="17"/>
          <w:color w:val="auto"/>
        </w:rPr>
        <w:t>”), the vesting of the PSUs shall be determined in accordance with and subject to the terms and conditions set forth in Section 3(c) of Appendix A, which shall replace Section 5(a)(iii) of the Key Executive Plan including, for the avoidance of doubt, Section II(3) of the Form Participation Agreement of the Key Executive Plan, which addresses accelerated vesting upon a Qualifying Termination during the Change in Control Period.</w:t>
      </w:r>
    </w:p>
    <w:p>
      <w:pPr>
        <w:spacing w:after="0" w:line="164" w:lineRule="exact"/>
        <w:rPr>
          <w:rFonts w:ascii="Times New Roman" w:cs="Times New Roman" w:eastAsia="Times New Roman" w:hAnsi="Times New Roman"/>
          <w:sz w:val="17"/>
          <w:szCs w:val="17"/>
          <w:color w:val="auto"/>
        </w:rPr>
      </w:pPr>
    </w:p>
    <w:p>
      <w:pPr>
        <w:jc w:val="both"/>
        <w:ind w:left="771" w:hanging="516"/>
        <w:spacing w:after="0" w:line="239" w:lineRule="auto"/>
        <w:tabs>
          <w:tab w:leader="none" w:pos="772"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of the PSUs in Shares pursuant to this Section 4(b) shall in all cases be no later than the applicable Settlement Deadline as set forth in Section 2 above and at a time or in a manner that is exempt from, or complies with, Code Section 409A. The prior sentence may be superseded in a future agreement or amendment to this Agreement only by direct and specific reference to such sentence. In the event of any conflict between the Plan, the Agreement and the Key Executive Plan, the provisions of this Agreement shall prevail.</w:t>
      </w:r>
    </w:p>
    <w:p>
      <w:pPr>
        <w:spacing w:after="0" w:line="165" w:lineRule="exact"/>
        <w:rPr>
          <w:rFonts w:ascii="Times New Roman" w:cs="Times New Roman" w:eastAsia="Times New Roman" w:hAnsi="Times New Roman"/>
          <w:sz w:val="17"/>
          <w:szCs w:val="17"/>
          <w:color w:val="auto"/>
        </w:rPr>
      </w:pPr>
    </w:p>
    <w:p>
      <w:pPr>
        <w:jc w:val="both"/>
        <w:ind w:left="251" w:hanging="251"/>
        <w:spacing w:after="0" w:line="236" w:lineRule="auto"/>
        <w:tabs>
          <w:tab w:leader="none" w:pos="30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intent is that this PSU award be exempt or excepted from the requirements of Code Section 409A to the extent the Participant is a U.S. taxpayer. However, in an abundance of caution, the Company is including in this subsection, certain Code Section 409A rules that only apply if these PSUs are not exempt or excepted, and then only in certain circumstances. Specifically, Code Section 409A contains rules that must apply to these PSUs if (a) they are not exempt or excepted from Code Section 409A, (b) the Company has any stock that is publicly traded on an established securities market or otherwise at the time Participant’s service terminates, (c) Participant receives acceleration of vesting of these PSUs in connection with a termination of service, and (d) at the time of such termination, Participant is considered a “specified employee” under the Code Section 409A rules. Should these rules ever become applicable to Participant’s PSUs, then notwithstanding anything in the Plan, this Agreement or any other agreement (whether entered into before, on or after the Grant Date) to the contrary, if the vesting of these PSUs is accelerated in connection with Participant’s termination as a Service</w:t>
      </w:r>
    </w:p>
    <w:p>
      <w:pPr>
        <w:sectPr>
          <w:pgSz w:w="11900" w:h="16838" w:orient="portrait"/>
          <w:cols w:equalWidth="0" w:num="1">
            <w:col w:w="10511"/>
          </w:cols>
          <w:pgMar w:left="1069" w:top="1137" w:right="319" w:bottom="1440" w:gutter="0" w:footer="0" w:header="0"/>
        </w:sectPr>
      </w:pPr>
    </w:p>
    <w:bookmarkStart w:id="177" w:name="page178"/>
    <w:bookmarkEnd w:id="177"/>
    <w:p>
      <w:pPr>
        <w:jc w:val="both"/>
        <w:ind w:left="760"/>
        <w:spacing w:after="0" w:line="237" w:lineRule="auto"/>
        <w:rPr>
          <w:sz w:val="20"/>
          <w:szCs w:val="20"/>
          <w:color w:val="auto"/>
        </w:rPr>
      </w:pPr>
      <w:r>
        <w:rPr>
          <w:rFonts w:ascii="Times New Roman" w:cs="Times New Roman" w:eastAsia="Times New Roman" w:hAnsi="Times New Roman"/>
          <w:sz w:val="17"/>
          <w:szCs w:val="17"/>
          <w:color w:val="auto"/>
        </w:rPr>
        <w:t>Provider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 (y) the settlement of such accelerated PSUs will result in the imposition of additional tax under Code Section 409A if such settlement is on or within the six (6) month period following Participant’s termination as a Service Provider, then the settlement of such accelerated PSUs will not occur until the date six (6) months and one (1) day following the date of Participant’s termination as a Service Provider, unless the Participant dies following his or her termination as a Service Provider, in which case, the Shares subject to these PSUs will be settled and issued to the Participant’s administrator or executor of his or her estate as soon as practicable following his or her death (subject to Section 6).</w:t>
      </w:r>
    </w:p>
    <w:p>
      <w:pPr>
        <w:spacing w:after="0" w:line="164" w:lineRule="exact"/>
        <w:rPr>
          <w:sz w:val="20"/>
          <w:szCs w:val="20"/>
          <w:color w:val="auto"/>
        </w:rPr>
      </w:pPr>
    </w:p>
    <w:p>
      <w:pPr>
        <w:jc w:val="both"/>
        <w:ind w:left="260" w:hanging="260"/>
        <w:spacing w:after="0" w:line="236" w:lineRule="auto"/>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upon Termination as a Service Provider</w:t>
      </w:r>
      <w:r>
        <w:rPr>
          <w:rFonts w:ascii="Times New Roman" w:cs="Times New Roman" w:eastAsia="Times New Roman" w:hAnsi="Times New Roman"/>
          <w:sz w:val="17"/>
          <w:szCs w:val="17"/>
          <w:color w:val="auto"/>
        </w:rPr>
        <w:t>. Upon the Participant’s termination as a Service Provider for any reason, these PSUs will immediately stop vesting and any of these PSUs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the unvested PSUs. For purposes of the PSUs, the Participant’s status as a Service Provider will be considered to be terminated as of the date the Participant is no longer providing services to the Company, or if different, the Subsidiary, Parent or other member of the Company Group to which the Participant is providing services (the “</w:t>
      </w:r>
      <w:r>
        <w:rPr>
          <w:rFonts w:ascii="Times New Roman" w:cs="Times New Roman" w:eastAsia="Times New Roman" w:hAnsi="Times New Roman"/>
          <w:sz w:val="17"/>
          <w:szCs w:val="17"/>
          <w:b w:val="1"/>
          <w:bCs w:val="1"/>
          <w:i w:val="1"/>
          <w:iCs w:val="1"/>
          <w:color w:val="auto"/>
        </w:rPr>
        <w:t>Service Recipient</w:t>
      </w:r>
      <w:r>
        <w:rPr>
          <w:rFonts w:ascii="Times New Roman" w:cs="Times New Roman" w:eastAsia="Times New Roman" w:hAnsi="Times New Roman"/>
          <w:sz w:val="17"/>
          <w:szCs w:val="17"/>
          <w:color w:val="auto"/>
        </w:rPr>
        <w:t>”)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the PSUs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providing services for purposes of the PSUs (including whether the Participant may still be considered to be providing services while on a leave of absence).</w:t>
      </w:r>
    </w:p>
    <w:p>
      <w:pPr>
        <w:spacing w:after="0" w:line="164" w:lineRule="exact"/>
        <w:rPr>
          <w:rFonts w:ascii="Times New Roman" w:cs="Times New Roman" w:eastAsia="Times New Roman" w:hAnsi="Times New Roman"/>
          <w:sz w:val="17"/>
          <w:szCs w:val="17"/>
          <w:color w:val="auto"/>
        </w:rPr>
      </w:pPr>
    </w:p>
    <w:p>
      <w:pPr>
        <w:jc w:val="both"/>
        <w:ind w:left="260" w:hanging="260"/>
        <w:spacing w:after="0" w:line="244" w:lineRule="auto"/>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w:t>
      </w:r>
    </w:p>
    <w:p>
      <w:pPr>
        <w:spacing w:after="0" w:line="159" w:lineRule="exact"/>
        <w:rPr>
          <w:rFonts w:ascii="Times New Roman" w:cs="Times New Roman" w:eastAsia="Times New Roman" w:hAnsi="Times New Roman"/>
          <w:sz w:val="17"/>
          <w:szCs w:val="17"/>
          <w:color w:val="auto"/>
        </w:rPr>
      </w:pPr>
    </w:p>
    <w:p>
      <w:pPr>
        <w:ind w:left="260" w:hanging="260"/>
        <w:spacing w:after="0"/>
        <w:tabs>
          <w:tab w:leader="none" w:pos="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1280" w:hanging="422"/>
        <w:spacing w:after="0" w:line="263" w:lineRule="auto"/>
        <w:tabs>
          <w:tab w:leader="none" w:pos="1281" w:val="left"/>
        </w:tabs>
        <w:numPr>
          <w:ilvl w:val="2"/>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no obligation to deliver Shares, or the proceeds of the sale of Shares, until the Participant makes satisfactory arrangements (as determined by the Administrator) for the payment of Tax Withholdings. If the Participant is a Service</w:t>
      </w:r>
    </w:p>
    <w:p>
      <w:pPr>
        <w:sectPr>
          <w:pgSz w:w="11900" w:h="16838" w:orient="portrait"/>
          <w:cols w:equalWidth="0" w:num="1">
            <w:col w:w="11020"/>
          </w:cols>
          <w:pgMar w:left="560" w:top="1137" w:right="319" w:bottom="1440" w:gutter="0" w:footer="0" w:header="0"/>
        </w:sectPr>
      </w:pPr>
    </w:p>
    <w:bookmarkStart w:id="178" w:name="page179"/>
    <w:bookmarkEnd w:id="178"/>
    <w:p>
      <w:pPr>
        <w:jc w:val="both"/>
        <w:ind w:left="517"/>
        <w:spacing w:after="0" w:line="241" w:lineRule="auto"/>
        <w:rPr>
          <w:sz w:val="20"/>
          <w:szCs w:val="20"/>
          <w:color w:val="auto"/>
        </w:rPr>
      </w:pPr>
      <w:r>
        <w:rPr>
          <w:rFonts w:ascii="Times New Roman" w:cs="Times New Roman" w:eastAsia="Times New Roman" w:hAnsi="Times New Roman"/>
          <w:sz w:val="17"/>
          <w:szCs w:val="17"/>
          <w:color w:val="auto"/>
        </w:rPr>
        <w:t>Provider outside the U.S., the method of payment of Tax Withholdings may be restricted by the Appendix. If the Participant fails to make satisfactory arrangements for the payment of any Tax Withholdings due in connection with his or her participation under the Plan prior to vesting of these PSUs or other relevant taxable or tax withholding event, as applicable, he or she will permanently forfeit the applicable PSUs and any right to receive Shares under such PSUs, and such PSUs will be returned to the Company at no cost to the Company, to the extent permitted by Applicable Laws.</w:t>
      </w:r>
    </w:p>
    <w:p>
      <w:pPr>
        <w:spacing w:after="0" w:line="164" w:lineRule="exact"/>
        <w:rPr>
          <w:sz w:val="20"/>
          <w:szCs w:val="20"/>
          <w:color w:val="auto"/>
        </w:rPr>
      </w:pPr>
    </w:p>
    <w:p>
      <w:pPr>
        <w:jc w:val="both"/>
        <w:ind w:left="517" w:hanging="422"/>
        <w:spacing w:after="0" w:line="239" w:lineRule="auto"/>
        <w:tabs>
          <w:tab w:leader="none" w:pos="51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right (but not the obligation) to satisfy any Tax Withholdings by withholding from proceeds of a sale of Shares acquired upon payment of these PSUs arranged by the Company (on the Participant’s behalf pursuant to this authorization without further consent), and this will be the method by which such tax withholding obligations are satisfied until the Company determines otherwise, subject to Applicable Laws.</w:t>
      </w:r>
    </w:p>
    <w:p>
      <w:pPr>
        <w:spacing w:after="0" w:line="165" w:lineRule="exact"/>
        <w:rPr>
          <w:rFonts w:ascii="Times New Roman" w:cs="Times New Roman" w:eastAsia="Times New Roman" w:hAnsi="Times New Roman"/>
          <w:sz w:val="17"/>
          <w:szCs w:val="17"/>
          <w:color w:val="auto"/>
        </w:rPr>
      </w:pPr>
    </w:p>
    <w:p>
      <w:pPr>
        <w:jc w:val="both"/>
        <w:ind w:left="517" w:hanging="469"/>
        <w:spacing w:after="0" w:line="241" w:lineRule="auto"/>
        <w:tabs>
          <w:tab w:leader="none" w:pos="51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has the right (but not the obligation) to satisfy any Tax Withholdings: (a) by reducing the number of Shares otherwise deliverable to the Participant at settlement of the PSUs; (b) by requiring payment by cash or check made payable to the Company and/or any Service Recipient with respect to which the withholding obligation arises; (c) by withholding from the Participant’s salary, wages or other compensation payable to the Participant; or (d) in any combination of the foregoing, including as provided under (ii) above, or by any other method of withholding determined by the Administrator and to the extent required by Applicable Laws or the Plan, approved by the Company.</w:t>
      </w:r>
    </w:p>
    <w:p>
      <w:pPr>
        <w:spacing w:after="0" w:line="164" w:lineRule="exact"/>
        <w:rPr>
          <w:rFonts w:ascii="Times New Roman" w:cs="Times New Roman" w:eastAsia="Times New Roman" w:hAnsi="Times New Roman"/>
          <w:sz w:val="17"/>
          <w:szCs w:val="17"/>
          <w:color w:val="auto"/>
        </w:rPr>
      </w:pPr>
    </w:p>
    <w:p>
      <w:pPr>
        <w:jc w:val="both"/>
        <w:ind w:left="517" w:hanging="516"/>
        <w:spacing w:after="0" w:line="237" w:lineRule="auto"/>
        <w:tabs>
          <w:tab w:leader="none" w:pos="51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 Withholdings directly to the applicable tax authority or to the Company and/or the Service Recipients. If the obligation for Tax Withholdings is satisfied by withholding in Shares, for tax purposes, the Participant will be deemed to have been issued the full number of Shares subject to the vested PSUs, notwithstanding that a number of the Shares is held back solely for the purpose of paying the Tax Withholdings.</w:t>
      </w:r>
    </w:p>
    <w:p>
      <w:pPr>
        <w:spacing w:after="0" w:line="165" w:lineRule="exact"/>
        <w:rPr>
          <w:rFonts w:ascii="Times New Roman" w:cs="Times New Roman" w:eastAsia="Times New Roman" w:hAnsi="Times New Roman"/>
          <w:sz w:val="17"/>
          <w:szCs w:val="17"/>
          <w:color w:val="auto"/>
        </w:rPr>
      </w:pPr>
    </w:p>
    <w:p>
      <w:pPr>
        <w:jc w:val="both"/>
        <w:ind w:left="517" w:hanging="507"/>
        <w:spacing w:after="0" w:line="249" w:lineRule="auto"/>
        <w:tabs>
          <w:tab w:leader="none" w:pos="517"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if the Participant is subject to taxation in more than one jurisdiction between the Grant Date and the date of any relevant taxable or tax withholding event, the Company or the Service Recipient(s) or former Service Recipient(s) may withhold or account for Tax Withholdings in more than one jurisdiction.</w:t>
      </w:r>
    </w:p>
    <w:p>
      <w:pPr>
        <w:spacing w:after="0" w:line="155" w:lineRule="exact"/>
        <w:rPr>
          <w:rFonts w:ascii="Times New Roman" w:cs="Times New Roman" w:eastAsia="Times New Roman" w:hAnsi="Times New Roman"/>
          <w:sz w:val="17"/>
          <w:szCs w:val="17"/>
          <w:color w:val="auto"/>
        </w:rPr>
      </w:pPr>
    </w:p>
    <w:p>
      <w:pPr>
        <w:jc w:val="both"/>
        <w:ind w:left="-3" w:firstLine="3"/>
        <w:spacing w:after="0" w:line="239" w:lineRule="auto"/>
        <w:tabs>
          <w:tab w:leader="none" w:pos="48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Regardless of any action of the Company or the Service Recipient(s), the Participant acknowledges that the ultimate liability for all Tax Withholdings and any and all additional taxes related to the Award, the Shares or other amounts or property delivered under the Award or with respect to the Shares and the Participant’s participation in the Plan is and remains his or her responsibility and may exceed the amount, if any, actually withheld by the Company or the Service Recipient(s). The Participant further acknowledges that the Company and/or the Service</w:t>
      </w:r>
    </w:p>
    <w:p>
      <w:pPr>
        <w:sectPr>
          <w:pgSz w:w="11900" w:h="16838" w:orient="portrait"/>
          <w:cols w:equalWidth="0" w:num="1">
            <w:col w:w="10257"/>
          </w:cols>
          <w:pgMar w:left="1323" w:top="1137" w:right="319" w:bottom="1440" w:gutter="0" w:footer="0" w:header="0"/>
        </w:sectPr>
      </w:pPr>
    </w:p>
    <w:bookmarkStart w:id="179" w:name="page180"/>
    <w:bookmarkEnd w:id="179"/>
    <w:p>
      <w:pPr>
        <w:jc w:val="both"/>
        <w:ind w:left="760"/>
        <w:spacing w:after="0" w:line="249" w:lineRule="auto"/>
        <w:rPr>
          <w:sz w:val="20"/>
          <w:szCs w:val="20"/>
          <w:color w:val="auto"/>
        </w:rPr>
      </w:pPr>
      <w:r>
        <w:rPr>
          <w:rFonts w:ascii="Times New Roman" w:cs="Times New Roman" w:eastAsia="Times New Roman" w:hAnsi="Times New Roman"/>
          <w:sz w:val="17"/>
          <w:szCs w:val="17"/>
          <w:color w:val="auto"/>
        </w:rPr>
        <w:t>Recipient(s) (a) make no representations or undertakings regarding the treatment of any Tax Withholdings in connection with any aspect of these PSUs and (b) do not commit to and are under no obligation to structure the terms of the grant or any aspect of these PSUs to reduce or eliminate his or her liability for Tax Withholdings or achieve any particular tax result.</w:t>
      </w:r>
    </w:p>
    <w:p>
      <w:pPr>
        <w:spacing w:after="0" w:line="155" w:lineRule="exact"/>
        <w:rPr>
          <w:sz w:val="20"/>
          <w:szCs w:val="20"/>
          <w:color w:val="auto"/>
        </w:rPr>
      </w:pPr>
    </w:p>
    <w:p>
      <w:pPr>
        <w:jc w:val="both"/>
        <w:ind w:left="-260" w:firstLine="514"/>
        <w:spacing w:after="0" w:line="237" w:lineRule="auto"/>
        <w:tabs>
          <w:tab w:leader="none" w:pos="50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 It is the intent of this Agreement that it and all issuances and benefits to U.S. taxpayers hereunder be exempt or excepted from the requirements of Code Section 409A pursuant to the “short-term deferral” exception under Code Section 409A, or otherwise be exempted or excepted from, or comply with, Code Section 409A, so that none of this Agreement, the PSUs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PSUs under this Agreement is intended to constitute a separate payment for purposes of Treasury Regulation Section 1.409A-2(b)(2). In no event will any member of the Company Group have any liability or obligation to reimburse, indemnify, or hold harmless Participant for any taxes that may be imposed, or other costs incurred, on Participant as a result of Code Section 409A.</w:t>
      </w:r>
    </w:p>
    <w:p>
      <w:pPr>
        <w:spacing w:after="0" w:line="165" w:lineRule="exact"/>
        <w:rPr>
          <w:rFonts w:ascii="Times New Roman" w:cs="Times New Roman" w:eastAsia="Times New Roman" w:hAnsi="Times New Roman"/>
          <w:sz w:val="17"/>
          <w:szCs w:val="17"/>
          <w:color w:val="auto"/>
        </w:rPr>
      </w:pPr>
    </w:p>
    <w:p>
      <w:pPr>
        <w:ind w:left="260" w:hanging="260"/>
        <w:spacing w:after="0" w:line="263" w:lineRule="auto"/>
        <w:tabs>
          <w:tab w:leader="none" w:pos="33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144"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Grant</w:t>
      </w:r>
      <w:r>
        <w:rPr>
          <w:rFonts w:ascii="Times New Roman" w:cs="Times New Roman" w:eastAsia="Times New Roman" w:hAnsi="Times New Roman"/>
          <w:sz w:val="17"/>
          <w:szCs w:val="17"/>
          <w:color w:val="auto"/>
        </w:rPr>
        <w:t>. In accepting these PSUs, the Participant acknowledges, understands and agrees that:</w:t>
      </w:r>
    </w:p>
    <w:p>
      <w:pPr>
        <w:spacing w:after="0" w:line="186" w:lineRule="exact"/>
        <w:rPr>
          <w:rFonts w:ascii="Times New Roman" w:cs="Times New Roman" w:eastAsia="Times New Roman" w:hAnsi="Times New Roman"/>
          <w:sz w:val="17"/>
          <w:szCs w:val="17"/>
          <w:color w:val="auto"/>
        </w:rPr>
      </w:pPr>
    </w:p>
    <w:p>
      <w:pPr>
        <w:ind w:left="760" w:hanging="251"/>
        <w:spacing w:after="0" w:line="263" w:lineRule="auto"/>
        <w:tabs>
          <w:tab w:leader="none" w:pos="751"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OF THESE PSUS IS CONTINGENT UPON CONTINUING AS A SERVICE PROVIDER ON THE RELEVANT VESTING CONDITION(S) AND SATISFACTION OF ANY OTHER CONDITIONS SET FORTH IN THIS AGREEMENT;</w:t>
      </w:r>
    </w:p>
    <w:p>
      <w:pPr>
        <w:spacing w:after="0" w:line="144" w:lineRule="exact"/>
        <w:rPr>
          <w:rFonts w:ascii="Times New Roman" w:cs="Times New Roman" w:eastAsia="Times New Roman" w:hAnsi="Times New Roman"/>
          <w:sz w:val="17"/>
          <w:szCs w:val="17"/>
          <w:color w:val="auto"/>
        </w:rPr>
      </w:pPr>
    </w:p>
    <w:p>
      <w:pPr>
        <w:jc w:val="both"/>
        <w:ind w:left="760" w:hanging="251"/>
        <w:spacing w:after="0" w:line="238" w:lineRule="auto"/>
        <w:tabs>
          <w:tab w:leader="none" w:pos="76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PSUS, THE AGREEMENT AND PARTICIPATION IN THE PLAN SHALL NOT BE INTERPRETED TO CREATE AN EXPRESS OR IMPLIED PROMISE OF CONTINUED ENGAGEMENT AS A SERVICE PROVIDER FOR THE VESTING PERIOD, FOR ANY PERIOD, OR AT ALL AND WILL NOT INTERFERE IN ANY WAY WITH HIS OR HER RIGHT OR THE RIGHT OF THE SERVICE RECIPIENT(S) TO TERMINATE HIS OR HER RELATIONSHIP AS A SERVICE PROVIDER AT ANY TIME, WITH OR WITHOUT CAUSE, SUBJECT TO APPLICABLE LAWS;</w:t>
      </w:r>
    </w:p>
    <w:p>
      <w:pPr>
        <w:spacing w:after="0" w:line="165" w:lineRule="exact"/>
        <w:rPr>
          <w:rFonts w:ascii="Times New Roman" w:cs="Times New Roman" w:eastAsia="Times New Roman" w:hAnsi="Times New Roman"/>
          <w:sz w:val="17"/>
          <w:szCs w:val="17"/>
          <w:color w:val="auto"/>
        </w:rPr>
      </w:pPr>
    </w:p>
    <w:p>
      <w:pPr>
        <w:ind w:left="760" w:hanging="251"/>
        <w:spacing w:after="0" w:line="263" w:lineRule="auto"/>
        <w:tabs>
          <w:tab w:leader="none" w:pos="751"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these PSUs and the Participant’s participation in the Plan shall not create a right to employment or other service relationship with the Company;</w:t>
      </w:r>
    </w:p>
    <w:p>
      <w:pPr>
        <w:spacing w:after="0" w:line="144" w:lineRule="exact"/>
        <w:rPr>
          <w:rFonts w:ascii="Times New Roman" w:cs="Times New Roman" w:eastAsia="Times New Roman" w:hAnsi="Times New Roman"/>
          <w:sz w:val="17"/>
          <w:szCs w:val="17"/>
          <w:color w:val="auto"/>
        </w:rPr>
      </w:pPr>
    </w:p>
    <w:p>
      <w:pPr>
        <w:ind w:left="760" w:hanging="251"/>
        <w:spacing w:after="0" w:line="263" w:lineRule="auto"/>
        <w:tabs>
          <w:tab w:leader="none" w:pos="76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its incorporated documents reflect all agreements on its subject matters and that he or she is not accepting this Agreement based on any promises, representations, or inducements other than those reflected in the Agreement;</w:t>
      </w:r>
    </w:p>
    <w:p>
      <w:pPr>
        <w:spacing w:after="0" w:line="144" w:lineRule="exact"/>
        <w:rPr>
          <w:rFonts w:ascii="Times New Roman" w:cs="Times New Roman" w:eastAsia="Times New Roman" w:hAnsi="Times New Roman"/>
          <w:sz w:val="17"/>
          <w:szCs w:val="17"/>
          <w:color w:val="auto"/>
        </w:rPr>
      </w:pPr>
    </w:p>
    <w:p>
      <w:pPr>
        <w:ind w:left="760" w:hanging="251"/>
        <w:spacing w:after="0" w:line="263" w:lineRule="auto"/>
        <w:tabs>
          <w:tab w:leader="none" w:pos="751"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144" w:lineRule="exact"/>
        <w:rPr>
          <w:rFonts w:ascii="Times New Roman" w:cs="Times New Roman" w:eastAsia="Times New Roman" w:hAnsi="Times New Roman"/>
          <w:sz w:val="17"/>
          <w:szCs w:val="17"/>
          <w:color w:val="auto"/>
        </w:rPr>
      </w:pPr>
    </w:p>
    <w:p>
      <w:pPr>
        <w:ind w:left="760" w:hanging="251"/>
        <w:spacing w:after="0" w:line="250" w:lineRule="auto"/>
        <w:tabs>
          <w:tab w:leader="none" w:pos="753"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is discretionary in nature, and may be amended, suspended, or terminated by the Company at any time, to the extent permitted by the Plan;</w:t>
      </w:r>
    </w:p>
    <w:p>
      <w:pPr>
        <w:sectPr>
          <w:pgSz w:w="11900" w:h="16838" w:orient="portrait"/>
          <w:cols w:equalWidth="0" w:num="1">
            <w:col w:w="11020"/>
          </w:cols>
          <w:pgMar w:left="560" w:top="1137" w:right="319" w:bottom="1440" w:gutter="0" w:footer="0" w:header="0"/>
        </w:sectPr>
      </w:pPr>
    </w:p>
    <w:bookmarkStart w:id="180" w:name="page181"/>
    <w:bookmarkEnd w:id="180"/>
    <w:p>
      <w:pPr>
        <w:ind w:left="760" w:hanging="251"/>
        <w:spacing w:after="0" w:line="263" w:lineRule="auto"/>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these PSUs is exceptional, voluntary and occasional and does not create any contractual or other right to receive future grants of PSUs or benefits in lieu of PSUs, even if PSUs have been granted in the past;</w:t>
      </w:r>
    </w:p>
    <w:p>
      <w:pPr>
        <w:spacing w:after="0" w:line="144"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decisions regarding future Awards, if any, will be in the Company’s sole discretion;</w:t>
      </w:r>
    </w:p>
    <w:p>
      <w:pPr>
        <w:spacing w:after="0" w:line="186"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or she is voluntarily participating in the Plan;</w:t>
      </w:r>
    </w:p>
    <w:p>
      <w:pPr>
        <w:spacing w:after="0" w:line="186" w:lineRule="exact"/>
        <w:rPr>
          <w:rFonts w:ascii="Times New Roman" w:cs="Times New Roman" w:eastAsia="Times New Roman" w:hAnsi="Times New Roman"/>
          <w:sz w:val="17"/>
          <w:szCs w:val="17"/>
          <w:color w:val="auto"/>
        </w:rPr>
      </w:pPr>
    </w:p>
    <w:p>
      <w:pPr>
        <w:ind w:left="760" w:hanging="251"/>
        <w:spacing w:after="0" w:line="263" w:lineRule="auto"/>
        <w:tabs>
          <w:tab w:leader="none" w:pos="75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PSUs and any Shares acquired under these PSUs, and the income from and value of same, are not intended to replace any pension rights or compensation;</w:t>
      </w:r>
    </w:p>
    <w:p>
      <w:pPr>
        <w:spacing w:after="0" w:line="133" w:lineRule="exact"/>
        <w:rPr>
          <w:rFonts w:ascii="Times New Roman" w:cs="Times New Roman" w:eastAsia="Times New Roman" w:hAnsi="Times New Roman"/>
          <w:sz w:val="17"/>
          <w:szCs w:val="17"/>
          <w:color w:val="auto"/>
        </w:rPr>
      </w:pPr>
    </w:p>
    <w:p>
      <w:pPr>
        <w:jc w:val="both"/>
        <w:ind w:left="760" w:hanging="251"/>
        <w:spacing w:after="0" w:line="249" w:lineRule="auto"/>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PSUs and any Shares acquired under these PSUs,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55"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value of the Shares underlying these PSUs is unknown, indeterminable, and cannot be predicted with certainty;</w:t>
      </w:r>
    </w:p>
    <w:p>
      <w:pPr>
        <w:spacing w:after="0" w:line="186" w:lineRule="exact"/>
        <w:rPr>
          <w:rFonts w:ascii="Times New Roman" w:cs="Times New Roman" w:eastAsia="Times New Roman" w:hAnsi="Times New Roman"/>
          <w:sz w:val="17"/>
          <w:szCs w:val="17"/>
          <w:color w:val="auto"/>
        </w:rPr>
      </w:pPr>
    </w:p>
    <w:p>
      <w:pPr>
        <w:jc w:val="both"/>
        <w:ind w:left="760" w:hanging="251"/>
        <w:spacing w:after="0" w:line="249" w:lineRule="auto"/>
        <w:tabs>
          <w:tab w:leader="none" w:pos="754"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the Company Group is liable for any foreign exchange rate fluctuation between the Participant’s local currency and the United States Dollar that may affect the value of these PSUs or of any amounts due to him or her from the payment of these PSUs or the subsequent sale of any Shares;</w:t>
      </w:r>
    </w:p>
    <w:p>
      <w:pPr>
        <w:spacing w:after="0" w:line="155" w:lineRule="exact"/>
        <w:rPr>
          <w:rFonts w:ascii="Times New Roman" w:cs="Times New Roman" w:eastAsia="Times New Roman" w:hAnsi="Times New Roman"/>
          <w:sz w:val="17"/>
          <w:szCs w:val="17"/>
          <w:color w:val="auto"/>
        </w:rPr>
      </w:pPr>
    </w:p>
    <w:p>
      <w:pPr>
        <w:jc w:val="both"/>
        <w:ind w:left="760" w:hanging="251"/>
        <w:spacing w:after="0" w:line="249" w:lineRule="auto"/>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in the Plan or by the Administrator in its discretion, the PSUs and the benefits evidenced in this Agreement do not create any entitlement to have the PSUs or any such benefits transferred to, or assumed by, another company, nor to be exchanged, cashed out or substituted for, in connection with any corporate transaction affecting the Shares; and</w:t>
      </w:r>
    </w:p>
    <w:p>
      <w:pPr>
        <w:spacing w:after="0" w:line="155" w:lineRule="exact"/>
        <w:rPr>
          <w:rFonts w:ascii="Times New Roman" w:cs="Times New Roman" w:eastAsia="Times New Roman" w:hAnsi="Times New Roman"/>
          <w:sz w:val="17"/>
          <w:szCs w:val="17"/>
          <w:color w:val="auto"/>
        </w:rPr>
      </w:pPr>
    </w:p>
    <w:p>
      <w:pPr>
        <w:jc w:val="both"/>
        <w:ind w:left="760" w:hanging="251"/>
        <w:spacing w:after="0" w:line="239" w:lineRule="auto"/>
        <w:tabs>
          <w:tab w:leader="none" w:pos="7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has no claim or entitlement to compensation or damages from (i) any forfeiture of these PSUs resulting from the termination of his or her status as a Service Provider (for any reason whatsoever, whether or not later found to be invalid or in breach of employment laws in the jurisdiction where he or she is a Service Provider or the terms of his or her employment or service agreement, if any); or (ii) the application of any recoupment or clawback policy.</w:t>
      </w:r>
    </w:p>
    <w:p>
      <w:pPr>
        <w:spacing w:after="0" w:line="165" w:lineRule="exact"/>
        <w:rPr>
          <w:rFonts w:ascii="Times New Roman" w:cs="Times New Roman" w:eastAsia="Times New Roman" w:hAnsi="Times New Roman"/>
          <w:sz w:val="17"/>
          <w:szCs w:val="17"/>
          <w:color w:val="auto"/>
        </w:rPr>
      </w:pPr>
    </w:p>
    <w:p>
      <w:pPr>
        <w:jc w:val="both"/>
        <w:ind w:left="260" w:hanging="260"/>
        <w:spacing w:after="0" w:line="249" w:lineRule="auto"/>
        <w:tabs>
          <w:tab w:leader="none" w:pos="40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Notification and Consent Applicable for Participants Outside the U.S</w:t>
      </w:r>
      <w:r>
        <w:rPr>
          <w:rFonts w:ascii="Times New Roman" w:cs="Times New Roman" w:eastAsia="Times New Roman" w:hAnsi="Times New Roman"/>
          <w:sz w:val="17"/>
          <w:szCs w:val="17"/>
          <w:color w:val="auto"/>
        </w:rPr>
        <w:t>. The Company is located at 101 15th Street, San Francisco, CA 94103, USA. If the Participant would like to participate in the Plan, please review the following information about the Company’s data processing practices and declare the Participant’s consent by accepting the Notice of Grant as directed by the Administrator.</w:t>
      </w:r>
    </w:p>
    <w:p>
      <w:pPr>
        <w:spacing w:after="0" w:line="151" w:lineRule="exact"/>
        <w:rPr>
          <w:rFonts w:ascii="Times New Roman" w:cs="Times New Roman" w:eastAsia="Times New Roman" w:hAnsi="Times New Roman"/>
          <w:sz w:val="17"/>
          <w:szCs w:val="17"/>
          <w:color w:val="auto"/>
        </w:rPr>
      </w:pPr>
    </w:p>
    <w:p>
      <w:pPr>
        <w:jc w:val="both"/>
        <w:ind w:left="760" w:hanging="251"/>
        <w:spacing w:after="0" w:line="245" w:lineRule="auto"/>
        <w:tabs>
          <w:tab w:leader="none" w:pos="760" w:val="left"/>
        </w:tabs>
        <w:numPr>
          <w:ilvl w:val="1"/>
          <w:numId w:val="8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Data Collection and Usage</w:t>
      </w:r>
      <w:r>
        <w:rPr>
          <w:rFonts w:ascii="Times New Roman" w:cs="Times New Roman" w:eastAsia="Times New Roman" w:hAnsi="Times New Roman"/>
          <w:sz w:val="17"/>
          <w:szCs w:val="17"/>
          <w:b w:val="1"/>
          <w:bCs w:val="1"/>
          <w:i w:val="1"/>
          <w:iCs w:val="1"/>
          <w:color w:val="auto"/>
        </w:rPr>
        <w:t>. The Participant understands that the Company and the Service Recipient(s) collect, process and use certain personal information about him or her, including, but not limited to, his or her name, home address and telephone number, date of birth, social insurance number or other identification number, salary, nationality, job title, any Shares or directorships held in the Company, details of all PSUs or any other entitlement to Shares or equivalent benefits awarded, canceled, exercised, vested, unvested or outstanding in his or her</w:t>
      </w:r>
    </w:p>
    <w:p>
      <w:pPr>
        <w:sectPr>
          <w:pgSz w:w="11900" w:h="16838" w:orient="portrait"/>
          <w:cols w:equalWidth="0" w:num="1">
            <w:col w:w="11020"/>
          </w:cols>
          <w:pgMar w:left="560" w:top="1328" w:right="319" w:bottom="1440" w:gutter="0" w:footer="0" w:header="0"/>
        </w:sectPr>
      </w:pPr>
    </w:p>
    <w:bookmarkStart w:id="181" w:name="page182"/>
    <w:bookmarkEnd w:id="181"/>
    <w:p>
      <w:pPr>
        <w:ind w:left="7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favor (“Data”), for the purposes of implementing, administering, and managing the Plan. The legal basis, where required, for the collection, processing and use of Data is the Participant’s consent.</w:t>
      </w:r>
    </w:p>
    <w:p>
      <w:pPr>
        <w:spacing w:after="0" w:line="136" w:lineRule="exact"/>
        <w:rPr>
          <w:sz w:val="20"/>
          <w:szCs w:val="20"/>
          <w:color w:val="auto"/>
        </w:rPr>
      </w:pPr>
    </w:p>
    <w:p>
      <w:pPr>
        <w:jc w:val="both"/>
        <w:ind w:left="760" w:hanging="251"/>
        <w:spacing w:after="0" w:line="239" w:lineRule="auto"/>
        <w:tabs>
          <w:tab w:leader="none" w:pos="760" w:val="left"/>
        </w:tabs>
        <w:numPr>
          <w:ilvl w:val="1"/>
          <w:numId w:val="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Stock Plan Administration Service Providers</w:t>
      </w:r>
      <w:r>
        <w:rPr>
          <w:rFonts w:ascii="Times New Roman" w:cs="Times New Roman" w:eastAsia="Times New Roman" w:hAnsi="Times New Roman"/>
          <w:sz w:val="17"/>
          <w:szCs w:val="17"/>
          <w:b w:val="1"/>
          <w:bCs w:val="1"/>
          <w:i w:val="1"/>
          <w:iCs w:val="1"/>
          <w:color w:val="auto"/>
        </w:rPr>
        <w:t>. The Company will transfer Data to its stock plan administrator (the “Stock Plan Administrator”) (including its affiliated companies), which is assisting the Company with the implementation, administration and management of the Plan. The Company may select different or additional service providers in the future and share Data with such other provider(s) serving in a similar manner. The Participant may be asked to agree on separate terms and data processing practices with the service provider(s), with such agreement being a condition to the ability to participate in the Plan.</w:t>
      </w:r>
    </w:p>
    <w:p>
      <w:pPr>
        <w:spacing w:after="0" w:line="161" w:lineRule="exact"/>
        <w:rPr>
          <w:rFonts w:ascii="Times New Roman" w:cs="Times New Roman" w:eastAsia="Times New Roman" w:hAnsi="Times New Roman"/>
          <w:sz w:val="17"/>
          <w:szCs w:val="17"/>
          <w:b w:val="1"/>
          <w:bCs w:val="1"/>
          <w:i w:val="1"/>
          <w:iCs w:val="1"/>
          <w:color w:val="auto"/>
        </w:rPr>
      </w:pPr>
    </w:p>
    <w:p>
      <w:pPr>
        <w:jc w:val="both"/>
        <w:ind w:left="760" w:hanging="251"/>
        <w:spacing w:after="0" w:line="245" w:lineRule="auto"/>
        <w:tabs>
          <w:tab w:leader="none" w:pos="751" w:val="left"/>
        </w:tabs>
        <w:numPr>
          <w:ilvl w:val="1"/>
          <w:numId w:val="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International Data Transfers</w:t>
      </w:r>
      <w:r>
        <w:rPr>
          <w:rFonts w:ascii="Times New Roman" w:cs="Times New Roman" w:eastAsia="Times New Roman" w:hAnsi="Times New Roman"/>
          <w:sz w:val="17"/>
          <w:szCs w:val="17"/>
          <w:b w:val="1"/>
          <w:bCs w:val="1"/>
          <w:i w:val="1"/>
          <w:iCs w:val="1"/>
          <w:color w:val="auto"/>
        </w:rPr>
        <w:t>. The Company and the Stock Plan Administrator are based in the United States, which means that it will be necessary for Data to be transferred to, and processed in, the United States. If the Participant is outside the United States, the Participant should note that his or her country has enacted data privacy laws that are different from the United States. The Company’s legal basis, where required, for the transfer of Data is the Participant’s consent.</w:t>
      </w:r>
    </w:p>
    <w:p>
      <w:pPr>
        <w:spacing w:after="0" w:line="156" w:lineRule="exact"/>
        <w:rPr>
          <w:rFonts w:ascii="Times New Roman" w:cs="Times New Roman" w:eastAsia="Times New Roman" w:hAnsi="Times New Roman"/>
          <w:sz w:val="17"/>
          <w:szCs w:val="17"/>
          <w:b w:val="1"/>
          <w:bCs w:val="1"/>
          <w:i w:val="1"/>
          <w:iCs w:val="1"/>
          <w:color w:val="auto"/>
        </w:rPr>
      </w:pPr>
    </w:p>
    <w:p>
      <w:pPr>
        <w:jc w:val="both"/>
        <w:ind w:left="760" w:hanging="251"/>
        <w:spacing w:after="0" w:line="251" w:lineRule="auto"/>
        <w:tabs>
          <w:tab w:leader="none" w:pos="760" w:val="left"/>
        </w:tabs>
        <w:numPr>
          <w:ilvl w:val="1"/>
          <w:numId w:val="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Data Retention</w:t>
      </w:r>
      <w:r>
        <w:rPr>
          <w:rFonts w:ascii="Times New Roman" w:cs="Times New Roman" w:eastAsia="Times New Roman" w:hAnsi="Times New Roman"/>
          <w:sz w:val="17"/>
          <w:szCs w:val="17"/>
          <w:b w:val="1"/>
          <w:bCs w:val="1"/>
          <w:i w:val="1"/>
          <w:iCs w:val="1"/>
          <w:color w:val="auto"/>
        </w:rPr>
        <w:t>. The Company and Service Recipients will hold and use Data only as long as is necessary to implement, administer and manage the Participant’s participation in the Plan, or as required to comply with legal or regulatory obligations, including under tax, exchange control, labor and securities laws. This may mean Data is retained until after the Participant’s termination as a Service Provider.</w:t>
      </w:r>
    </w:p>
    <w:p>
      <w:pPr>
        <w:spacing w:after="0" w:line="150" w:lineRule="exact"/>
        <w:rPr>
          <w:rFonts w:ascii="Times New Roman" w:cs="Times New Roman" w:eastAsia="Times New Roman" w:hAnsi="Times New Roman"/>
          <w:sz w:val="17"/>
          <w:szCs w:val="17"/>
          <w:b w:val="1"/>
          <w:bCs w:val="1"/>
          <w:i w:val="1"/>
          <w:iCs w:val="1"/>
          <w:color w:val="auto"/>
        </w:rPr>
      </w:pPr>
    </w:p>
    <w:p>
      <w:pPr>
        <w:jc w:val="both"/>
        <w:ind w:left="760" w:hanging="251"/>
        <w:spacing w:after="0" w:line="239" w:lineRule="auto"/>
        <w:tabs>
          <w:tab w:leader="none" w:pos="751" w:val="left"/>
        </w:tabs>
        <w:numPr>
          <w:ilvl w:val="1"/>
          <w:numId w:val="8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Data Subject Rights</w:t>
      </w:r>
      <w:r>
        <w:rPr>
          <w:rFonts w:ascii="Times New Roman" w:cs="Times New Roman" w:eastAsia="Times New Roman" w:hAnsi="Times New Roman"/>
          <w:sz w:val="17"/>
          <w:szCs w:val="17"/>
          <w:b w:val="1"/>
          <w:bCs w:val="1"/>
          <w:i w:val="1"/>
          <w:iCs w:val="1"/>
          <w:color w:val="auto"/>
        </w:rPr>
        <w:t xml:space="preserve">. Subject to the conditions set out in the Applicable Laws of the Participant’s jurisdiction, the Participant may, without limitation, have the right to (i) request access or copies of Data that the Company processes, (ii) rectification of incorrect Data, (iii) deletion of Data, (iv) restrictions on processing of Data, (v) portability of Data, (vi) lodge complaints with competent authorities in the Participant’s jurisdiction, and/or (vii) receive a list with the names and addresses of any potential recipients of Personal Data. </w:t>
      </w:r>
      <w:r>
        <w:rPr>
          <w:rFonts w:ascii="Times New Roman" w:cs="Times New Roman" w:eastAsia="Times New Roman" w:hAnsi="Times New Roman"/>
          <w:sz w:val="16"/>
          <w:szCs w:val="16"/>
          <w:b w:val="1"/>
          <w:bCs w:val="1"/>
          <w:i w:val="1"/>
          <w:iCs w:val="1"/>
          <w:color w:val="auto"/>
        </w:rPr>
        <w:t>To receive clarification regarding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6"/>
          <w:szCs w:val="16"/>
          <w:b w:val="1"/>
          <w:bCs w:val="1"/>
          <w:i w:val="1"/>
          <w:iCs w:val="1"/>
          <w:color w:val="auto"/>
        </w:rPr>
        <w:t>these rights or to exercise these rights, the Participant should contact his or her local human resources representative.</w:t>
      </w:r>
    </w:p>
    <w:p>
      <w:pPr>
        <w:spacing w:after="0" w:line="157" w:lineRule="exact"/>
        <w:rPr>
          <w:rFonts w:ascii="Times New Roman" w:cs="Times New Roman" w:eastAsia="Times New Roman" w:hAnsi="Times New Roman"/>
          <w:sz w:val="17"/>
          <w:szCs w:val="17"/>
          <w:b w:val="1"/>
          <w:bCs w:val="1"/>
          <w:i w:val="1"/>
          <w:iCs w:val="1"/>
          <w:color w:val="auto"/>
        </w:rPr>
      </w:pPr>
    </w:p>
    <w:p>
      <w:pPr>
        <w:jc w:val="both"/>
        <w:ind w:left="760" w:hanging="251"/>
        <w:spacing w:after="0" w:line="251" w:lineRule="auto"/>
        <w:tabs>
          <w:tab w:leader="none" w:pos="760" w:val="left"/>
        </w:tabs>
        <w:numPr>
          <w:ilvl w:val="1"/>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Participation in the Plan is voluntary, and the Participant is providing the consents herein on a purely voluntary basis. If the Participant does not consent, or if the Participant later seeks to revoke his or her consent, the Participant’s salary from or employment and career with the Company and/or the Service Recipient will not be affected; the only consequence of refusing or withdrawing consent is that the Company would not be able to grant PSUs or other Awards to the Participant or administer or maintain such Awards. Therefore, the Participant understands that refusing or withdrawing his or her consent may affect his or her ability to participate in the Plan (including the right to retain these PSUs). The Participant understands that he or she may contact his or her local human resources representative for more information on the consequences of his or her refusal to consent or withdrawal of consent.</w:t>
      </w:r>
    </w:p>
    <w:p>
      <w:pPr>
        <w:spacing w:after="0" w:line="146" w:lineRule="exact"/>
        <w:rPr>
          <w:rFonts w:ascii="Times New Roman" w:cs="Times New Roman" w:eastAsia="Times New Roman" w:hAnsi="Times New Roman"/>
          <w:sz w:val="16"/>
          <w:szCs w:val="16"/>
          <w:b w:val="1"/>
          <w:bCs w:val="1"/>
          <w:i w:val="1"/>
          <w:iCs w:val="1"/>
          <w:color w:val="auto"/>
        </w:rPr>
      </w:pPr>
    </w:p>
    <w:p>
      <w:pPr>
        <w:ind w:left="260" w:hanging="260"/>
        <w:spacing w:after="0" w:line="263" w:lineRule="auto"/>
        <w:tabs>
          <w:tab w:leader="none" w:pos="39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Insider Trading Restrictions/Market Abuse Laws</w:t>
      </w:r>
      <w:r>
        <w:rPr>
          <w:rFonts w:ascii="Times New Roman" w:cs="Times New Roman" w:eastAsia="Times New Roman" w:hAnsi="Times New Roman"/>
          <w:sz w:val="17"/>
          <w:szCs w:val="17"/>
          <w:color w:val="auto"/>
        </w:rPr>
        <w:t>. The Participant acknowledges that, depending on the Participant’s or the Participant’s broker’s country or where the Shares are listed, the Participant may be</w:t>
      </w:r>
    </w:p>
    <w:p>
      <w:pPr>
        <w:sectPr>
          <w:pgSz w:w="11900" w:h="16838" w:orient="portrait"/>
          <w:cols w:equalWidth="0" w:num="1">
            <w:col w:w="11020"/>
          </w:cols>
          <w:pgMar w:left="560" w:top="1133" w:right="319" w:bottom="1440" w:gutter="0" w:footer="0" w:header="0"/>
        </w:sectPr>
      </w:pPr>
    </w:p>
    <w:bookmarkStart w:id="182" w:name="page183"/>
    <w:bookmarkEnd w:id="182"/>
    <w:p>
      <w:pPr>
        <w:jc w:val="both"/>
        <w:ind w:left="260"/>
        <w:spacing w:after="0" w:line="237" w:lineRule="auto"/>
        <w:rPr>
          <w:sz w:val="20"/>
          <w:szCs w:val="20"/>
          <w:color w:val="auto"/>
        </w:rPr>
      </w:pPr>
      <w:r>
        <w:rPr>
          <w:rFonts w:ascii="Times New Roman" w:cs="Times New Roman" w:eastAsia="Times New Roman" w:hAnsi="Times New Roman"/>
          <w:sz w:val="17"/>
          <w:szCs w:val="17"/>
          <w:color w:val="auto"/>
        </w:rPr>
        <w:t>subject to insider trading restrictions and/or market abuse laws which may affect the Participant’s ability to accept, acquire, sell or otherwise dispose of Shares or rights to Shares (e.g., these PSUs)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w:t>
      </w:r>
    </w:p>
    <w:p>
      <w:pPr>
        <w:spacing w:after="0" w:line="164" w:lineRule="exact"/>
        <w:rPr>
          <w:sz w:val="20"/>
          <w:szCs w:val="20"/>
          <w:color w:val="auto"/>
        </w:rPr>
      </w:pPr>
    </w:p>
    <w:p>
      <w:pPr>
        <w:jc w:val="both"/>
        <w:ind w:left="260" w:hanging="260"/>
        <w:spacing w:after="0" w:line="238" w:lineRule="auto"/>
        <w:tabs>
          <w:tab w:leader="none" w:pos="38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Control, Foreign Asset/Account and/or Tax Reporting Requirements</w:t>
      </w:r>
      <w:r>
        <w:rPr>
          <w:rFonts w:ascii="Times New Roman" w:cs="Times New Roman" w:eastAsia="Times New Roman" w:hAnsi="Times New Roman"/>
          <w:sz w:val="17"/>
          <w:szCs w:val="17"/>
          <w:color w:val="auto"/>
        </w:rPr>
        <w:t>. Depending on the country to which laws the Participant is subject, he or she may have certain foreign asset/account, exchange control and/or tax reporting requirements as a result of the vesting of the PSUs, the acquisition, holding and/or transfer of Shares or cash resulting from participation in the Plan (including from any dividends or sale proceeds arising from the sale of Shares) and/or the opening and maintaining of a brokerage or bank account in connection with the Plan. The Participant’s country may require that the Participant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w:t>
      </w:r>
    </w:p>
    <w:p>
      <w:pPr>
        <w:spacing w:after="0" w:line="154" w:lineRule="exact"/>
        <w:rPr>
          <w:rFonts w:ascii="Times New Roman" w:cs="Times New Roman" w:eastAsia="Times New Roman" w:hAnsi="Times New Roman"/>
          <w:sz w:val="17"/>
          <w:szCs w:val="17"/>
          <w:color w:val="auto"/>
        </w:rPr>
      </w:pPr>
    </w:p>
    <w:p>
      <w:pPr>
        <w:ind w:left="380" w:hanging="380"/>
        <w:spacing w:after="0"/>
        <w:tabs>
          <w:tab w:leader="none" w:pos="3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color w:val="auto"/>
        </w:rPr>
      </w:pPr>
    </w:p>
    <w:p>
      <w:pPr>
        <w:jc w:val="both"/>
        <w:ind w:left="760" w:hanging="251"/>
        <w:spacing w:after="0" w:line="249" w:lineRule="auto"/>
        <w:tabs>
          <w:tab w:leader="none" w:pos="75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Agreement must be addressed to the Company at Sonder Holdings Inc., 447 Sutter Street, Suite 405 #542, San Francisco, CA 94108, USA until the Company designates another address in writing, unless electronic delivery is approved by the Administrator as described in subsection (f) below.</w:t>
      </w:r>
    </w:p>
    <w:p>
      <w:pPr>
        <w:spacing w:after="0" w:line="155"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PSUs</w:t>
      </w:r>
      <w:r>
        <w:rPr>
          <w:rFonts w:ascii="Times New Roman" w:cs="Times New Roman" w:eastAsia="Times New Roman" w:hAnsi="Times New Roman"/>
          <w:sz w:val="17"/>
          <w:szCs w:val="17"/>
          <w:color w:val="auto"/>
        </w:rPr>
        <w:t>. These PSUs may not be transferred other than by will or the applicable laws of descent or distribution.</w:t>
      </w:r>
    </w:p>
    <w:p>
      <w:pPr>
        <w:spacing w:after="0" w:line="186" w:lineRule="exact"/>
        <w:rPr>
          <w:rFonts w:ascii="Times New Roman" w:cs="Times New Roman" w:eastAsia="Times New Roman" w:hAnsi="Times New Roman"/>
          <w:sz w:val="17"/>
          <w:szCs w:val="17"/>
          <w:color w:val="auto"/>
        </w:rPr>
      </w:pPr>
    </w:p>
    <w:p>
      <w:pPr>
        <w:ind w:left="760" w:hanging="251"/>
        <w:spacing w:after="0" w:line="263" w:lineRule="auto"/>
        <w:tabs>
          <w:tab w:leader="none" w:pos="75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If any PSUs are transferred, this Agreement will be binding upon and inure to the benefit of the heirs, legatees, legal representatives, successors, and assigns of the parties to this Agreement.</w:t>
      </w:r>
    </w:p>
    <w:p>
      <w:pPr>
        <w:spacing w:after="0" w:line="144" w:lineRule="exact"/>
        <w:rPr>
          <w:rFonts w:ascii="Times New Roman" w:cs="Times New Roman" w:eastAsia="Times New Roman" w:hAnsi="Times New Roman"/>
          <w:sz w:val="17"/>
          <w:szCs w:val="17"/>
          <w:color w:val="auto"/>
        </w:rPr>
      </w:pPr>
    </w:p>
    <w:p>
      <w:pPr>
        <w:jc w:val="both"/>
        <w:ind w:left="760" w:hanging="251"/>
        <w:spacing w:after="0" w:line="239" w:lineRule="auto"/>
        <w:tabs>
          <w:tab w:leader="none" w:pos="76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Conditions to Issuance of Stock/ Compliance with Law</w:t>
      </w:r>
      <w:r>
        <w:rPr>
          <w:rFonts w:ascii="Times New Roman" w:cs="Times New Roman" w:eastAsia="Times New Roman" w:hAnsi="Times New Roman"/>
          <w:sz w:val="17"/>
          <w:szCs w:val="17"/>
          <w:color w:val="auto"/>
        </w:rPr>
        <w:t>.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w:t>
      </w:r>
    </w:p>
    <w:p>
      <w:pPr>
        <w:sectPr>
          <w:pgSz w:w="11900" w:h="16838" w:orient="portrait"/>
          <w:cols w:equalWidth="0" w:num="1">
            <w:col w:w="11020"/>
          </w:cols>
          <w:pgMar w:left="560" w:top="1137" w:right="319" w:bottom="1440" w:gutter="0" w:footer="0" w:header="0"/>
        </w:sectPr>
      </w:pPr>
    </w:p>
    <w:bookmarkStart w:id="183" w:name="page184"/>
    <w:bookmarkEnd w:id="183"/>
    <w:p>
      <w:pPr>
        <w:jc w:val="both"/>
        <w:ind w:left="251"/>
        <w:spacing w:after="0" w:line="237" w:lineRule="auto"/>
        <w:rPr>
          <w:sz w:val="20"/>
          <w:szCs w:val="20"/>
          <w:color w:val="auto"/>
        </w:rPr>
      </w:pPr>
      <w:r>
        <w:rPr>
          <w:rFonts w:ascii="Times New Roman" w:cs="Times New Roman" w:eastAsia="Times New Roman" w:hAnsi="Times New Roman"/>
          <w:sz w:val="17"/>
          <w:szCs w:val="17"/>
          <w:color w:val="auto"/>
        </w:rPr>
        <w:t>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PSU in a manner that would allow it to be settled by the applicable Settlement Deadline, such PSU will be forfeited as of immediately following the Settlement Deadline for no consideration and at no cost to the Company. Subject to the terms of this Agreement and the Plan, the Company shall not be required to issue any certificate or certificates for Shares hereunder prior to the lapse of such reasonable period of time following the date of vesting of a PSU as the Administrator may establish from time to time for reasons of administrative convenience and any such certificate may be in book entry form.</w:t>
      </w:r>
    </w:p>
    <w:p>
      <w:pPr>
        <w:spacing w:after="0" w:line="164" w:lineRule="exact"/>
        <w:rPr>
          <w:sz w:val="20"/>
          <w:szCs w:val="20"/>
          <w:color w:val="auto"/>
        </w:rPr>
      </w:pPr>
    </w:p>
    <w:p>
      <w:pPr>
        <w:ind w:left="251" w:hanging="251"/>
        <w:spacing w:after="0" w:line="263" w:lineRule="auto"/>
        <w:tabs>
          <w:tab w:leader="none" w:pos="24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Captions provided in this Agreement are for convenience only and are not to serve as a basis for interpretation or construction of this Agreement.</w:t>
      </w:r>
    </w:p>
    <w:p>
      <w:pPr>
        <w:spacing w:after="0" w:line="144" w:lineRule="exact"/>
        <w:rPr>
          <w:rFonts w:ascii="Times New Roman" w:cs="Times New Roman" w:eastAsia="Times New Roman" w:hAnsi="Times New Roman"/>
          <w:sz w:val="17"/>
          <w:szCs w:val="17"/>
          <w:color w:val="auto"/>
        </w:rPr>
      </w:pPr>
    </w:p>
    <w:p>
      <w:pPr>
        <w:jc w:val="both"/>
        <w:ind w:left="251" w:hanging="251"/>
        <w:spacing w:after="0" w:line="236" w:lineRule="auto"/>
        <w:tabs>
          <w:tab w:leader="none" w:pos="24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Electronic Delivery and Acceptance</w:t>
      </w:r>
      <w:r>
        <w:rPr>
          <w:rFonts w:ascii="Times New Roman" w:cs="Times New Roman" w:eastAsia="Times New Roman" w:hAnsi="Times New Roman"/>
          <w:sz w:val="17"/>
          <w:szCs w:val="17"/>
          <w:color w:val="auto"/>
        </w:rPr>
        <w:t>. The Participant agrees that the Company’s delivery of any documents related to current or future participation in the Plan and these PSUs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w:t>
      </w:r>
    </w:p>
    <w:p>
      <w:pPr>
        <w:spacing w:after="0" w:line="166" w:lineRule="exact"/>
        <w:rPr>
          <w:rFonts w:ascii="Times New Roman" w:cs="Times New Roman" w:eastAsia="Times New Roman" w:hAnsi="Times New Roman"/>
          <w:sz w:val="17"/>
          <w:szCs w:val="17"/>
          <w:color w:val="auto"/>
        </w:rPr>
      </w:pPr>
    </w:p>
    <w:p>
      <w:pPr>
        <w:jc w:val="both"/>
        <w:ind w:left="771" w:hanging="262"/>
        <w:spacing w:after="0" w:line="249" w:lineRule="auto"/>
        <w:tabs>
          <w:tab w:leader="none" w:pos="77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may deliver any documents related to the Plan or these PSUs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w:t>
      </w:r>
    </w:p>
    <w:p>
      <w:pPr>
        <w:spacing w:after="0" w:line="155" w:lineRule="exact"/>
        <w:rPr>
          <w:rFonts w:ascii="Times New Roman" w:cs="Times New Roman" w:eastAsia="Times New Roman" w:hAnsi="Times New Roman"/>
          <w:sz w:val="17"/>
          <w:szCs w:val="17"/>
          <w:color w:val="auto"/>
        </w:rPr>
      </w:pPr>
    </w:p>
    <w:p>
      <w:pPr>
        <w:ind w:left="251" w:hanging="251"/>
        <w:spacing w:after="0" w:line="263" w:lineRule="auto"/>
        <w:tabs>
          <w:tab w:leader="none" w:pos="4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If any provision of this Agreement is held invalid or unenforceable, that provision will be severed from the remaining provisions of this Agreement and the invalidity or unenforceability will have no effect on the remainder of the Agreement.</w:t>
      </w:r>
    </w:p>
    <w:p>
      <w:pPr>
        <w:spacing w:after="0" w:line="144" w:lineRule="exact"/>
        <w:rPr>
          <w:rFonts w:ascii="Times New Roman" w:cs="Times New Roman" w:eastAsia="Times New Roman" w:hAnsi="Times New Roman"/>
          <w:sz w:val="17"/>
          <w:szCs w:val="17"/>
          <w:color w:val="auto"/>
        </w:rPr>
      </w:pPr>
    </w:p>
    <w:p>
      <w:pPr>
        <w:jc w:val="both"/>
        <w:ind w:left="251" w:hanging="251"/>
        <w:spacing w:after="0" w:line="242" w:lineRule="auto"/>
        <w:tabs>
          <w:tab w:leader="none" w:pos="33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Non-U.S. Appendix</w:t>
      </w:r>
      <w:r>
        <w:rPr>
          <w:rFonts w:ascii="Times New Roman" w:cs="Times New Roman" w:eastAsia="Times New Roman" w:hAnsi="Times New Roman"/>
          <w:sz w:val="17"/>
          <w:szCs w:val="17"/>
          <w:color w:val="auto"/>
        </w:rPr>
        <w:t xml:space="preserve">. Notwithstanding any provisions in this Agreement, these PSUs shall be subject to any additional terms and conditions for the Participant’s country set forth in the Appendix B to Performance Stock Unit Agreement for Non-U.S. Participants (attached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If the Participant relocates to a country included in the Appendix, the additional</w:t>
      </w:r>
    </w:p>
    <w:p>
      <w:pPr>
        <w:sectPr>
          <w:pgSz w:w="11900" w:h="16838" w:orient="portrait"/>
          <w:cols w:equalWidth="0" w:num="1">
            <w:col w:w="10511"/>
          </w:cols>
          <w:pgMar w:left="1069" w:top="1137" w:right="319" w:bottom="1440" w:gutter="0" w:footer="0" w:header="0"/>
        </w:sectPr>
      </w:pPr>
    </w:p>
    <w:bookmarkStart w:id="184" w:name="page185"/>
    <w:bookmarkEnd w:id="184"/>
    <w:p>
      <w:pPr>
        <w:ind w:left="251"/>
        <w:spacing w:after="0" w:line="263" w:lineRule="auto"/>
        <w:rPr>
          <w:sz w:val="20"/>
          <w:szCs w:val="20"/>
          <w:color w:val="auto"/>
        </w:rPr>
      </w:pPr>
      <w:r>
        <w:rPr>
          <w:rFonts w:ascii="Times New Roman" w:cs="Times New Roman" w:eastAsia="Times New Roman" w:hAnsi="Times New Roman"/>
          <w:sz w:val="17"/>
          <w:szCs w:val="17"/>
          <w:color w:val="auto"/>
        </w:rPr>
        <w:t>terms and conditions for that country will apply to him or her, to the extent the Company determines that applying such terms and conditions is necessary or advisable for legal or administrative reasons. The Appendix constitutes part of this Agreement.</w:t>
      </w:r>
    </w:p>
    <w:p>
      <w:pPr>
        <w:spacing w:after="0" w:line="144" w:lineRule="exact"/>
        <w:rPr>
          <w:sz w:val="20"/>
          <w:szCs w:val="20"/>
          <w:color w:val="auto"/>
        </w:rPr>
      </w:pPr>
    </w:p>
    <w:p>
      <w:pPr>
        <w:jc w:val="both"/>
        <w:ind w:left="251" w:hanging="251"/>
        <w:spacing w:after="0" w:line="235" w:lineRule="auto"/>
        <w:tabs>
          <w:tab w:leader="none" w:pos="26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PSUs remaining exempt or excepted from the requirements of Code Section 409A pursuant to the “short-term deferral” exception or another exception or exemption under Code Section 409A, or otherwise complying with Code Section 409A, in each case such that none of this Agreement, the PSUs provided under this Agreement, or Shares, cash or other property issuable hereunder will be subject to the additional tax imposed under Code Section 409A.</w:t>
      </w:r>
    </w:p>
    <w:p>
      <w:pPr>
        <w:spacing w:after="0" w:line="4" w:lineRule="exact"/>
        <w:rPr>
          <w:rFonts w:ascii="Times New Roman" w:cs="Times New Roman" w:eastAsia="Times New Roman" w:hAnsi="Times New Roman"/>
          <w:sz w:val="17"/>
          <w:szCs w:val="17"/>
          <w:color w:val="auto"/>
        </w:rPr>
      </w:pPr>
    </w:p>
    <w:p>
      <w:pPr>
        <w:jc w:val="both"/>
        <w:ind w:left="251" w:hanging="251"/>
        <w:spacing w:after="0" w:line="236" w:lineRule="auto"/>
        <w:tabs>
          <w:tab w:leader="none" w:pos="27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 Choice of Forum</w:t>
      </w:r>
      <w:r>
        <w:rPr>
          <w:rFonts w:ascii="Times New Roman" w:cs="Times New Roman" w:eastAsia="Times New Roman" w:hAnsi="Times New Roman"/>
          <w:sz w:val="17"/>
          <w:szCs w:val="17"/>
          <w:color w:val="auto"/>
        </w:rPr>
        <w:t>. The Plan, this Agreement, these PSUs, and all determinations made and actions taken under the Plan, to the extent not otherwise governed by the laws of the United States, will be governed by the internal laws of the State of Delaware without giving effect to principles of conflicts of law. For purposes of litigating any dispute that arises under the Plan, the Participant’s acceptance of these PSUs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w:t>
      </w:r>
    </w:p>
    <w:p>
      <w:pPr>
        <w:spacing w:after="0" w:line="165" w:lineRule="exact"/>
        <w:rPr>
          <w:rFonts w:ascii="Times New Roman" w:cs="Times New Roman" w:eastAsia="Times New Roman" w:hAnsi="Times New Roman"/>
          <w:sz w:val="17"/>
          <w:szCs w:val="17"/>
          <w:color w:val="auto"/>
        </w:rPr>
      </w:pPr>
    </w:p>
    <w:p>
      <w:pPr>
        <w:jc w:val="both"/>
        <w:ind w:left="251" w:hanging="251"/>
        <w:spacing w:after="0" w:line="236" w:lineRule="auto"/>
        <w:tabs>
          <w:tab w:leader="none" w:pos="4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to the Agreement</w:t>
      </w:r>
      <w:r>
        <w:rPr>
          <w:rFonts w:ascii="Times New Roman" w:cs="Times New Roman" w:eastAsia="Times New Roman" w:hAnsi="Times New Roman"/>
          <w:sz w:val="17"/>
          <w:szCs w:val="17"/>
          <w:color w:val="auto"/>
        </w:rPr>
        <w:t>. The Plan and this Agreement constitute the entire understanding of the parties on the subjects covered. The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 Participant, modify this Agreement in any of the following manners: (a) take any action permitted by Section 4 of this Agreement, including to waive or decrease, in whole or in part, some or all of the requirements required for vesting of all or a portion of the unvested PSUs; or (b) waive or decrease some or all of the requirements for settlement of PSUs. The Company reserves the right to revise this Agreement as it deems necessary or advisable, in its sole discretion and without the consent of the Participant, to comply with Code Section 409A, to otherwise avoid imposition of any additional tax or income recognition under Code Section 409A in connection with these PSUs, or to comply with other Applicable Laws.</w:t>
      </w:r>
    </w:p>
    <w:p>
      <w:pPr>
        <w:spacing w:after="0" w:line="167" w:lineRule="exact"/>
        <w:rPr>
          <w:rFonts w:ascii="Times New Roman" w:cs="Times New Roman" w:eastAsia="Times New Roman" w:hAnsi="Times New Roman"/>
          <w:sz w:val="17"/>
          <w:szCs w:val="17"/>
          <w:color w:val="auto"/>
        </w:rPr>
      </w:pPr>
    </w:p>
    <w:p>
      <w:pPr>
        <w:ind w:left="251" w:hanging="251"/>
        <w:spacing w:after="0" w:line="263" w:lineRule="auto"/>
        <w:tabs>
          <w:tab w:leader="none" w:pos="26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The Participant acknowledges that a waiver by the Company of a breach of any provision of this Agreement will not operate or be construed as a waiver of any other provision of this Agreement or of any subsequent breach of this Agreement by him or her or any other Participant.</w:t>
      </w:r>
    </w:p>
    <w:p>
      <w:pPr>
        <w:spacing w:after="0" w:line="133" w:lineRule="exact"/>
        <w:rPr>
          <w:rFonts w:ascii="Times New Roman" w:cs="Times New Roman" w:eastAsia="Times New Roman" w:hAnsi="Times New Roman"/>
          <w:sz w:val="17"/>
          <w:szCs w:val="17"/>
          <w:color w:val="auto"/>
        </w:rPr>
      </w:pPr>
    </w:p>
    <w:p>
      <w:pPr>
        <w:ind w:left="251" w:hanging="251"/>
        <w:spacing w:after="0" w:line="263" w:lineRule="auto"/>
        <w:tabs>
          <w:tab w:leader="none" w:pos="34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The Participant acknowledges that the Participant is sufficiently proficient in English, or has consulted with an advisor who is sufficiently proficient in English, so as to allow the</w:t>
      </w:r>
    </w:p>
    <w:p>
      <w:pPr>
        <w:sectPr>
          <w:pgSz w:w="11900" w:h="16838" w:orient="portrait"/>
          <w:cols w:equalWidth="0" w:num="1">
            <w:col w:w="10511"/>
          </w:cols>
          <w:pgMar w:left="1069" w:top="1137" w:right="319" w:bottom="1440" w:gutter="0" w:footer="0" w:header="0"/>
        </w:sectPr>
      </w:pPr>
    </w:p>
    <w:bookmarkStart w:id="185" w:name="page186"/>
    <w:bookmarkEnd w:id="185"/>
    <w:p>
      <w:pPr>
        <w:jc w:val="both"/>
        <w:spacing w:after="0" w:line="249" w:lineRule="auto"/>
        <w:rPr>
          <w:sz w:val="20"/>
          <w:szCs w:val="20"/>
          <w:color w:val="auto"/>
        </w:rPr>
      </w:pPr>
      <w:r>
        <w:rPr>
          <w:rFonts w:ascii="Times New Roman" w:cs="Times New Roman" w:eastAsia="Times New Roman" w:hAnsi="Times New Roman"/>
          <w:sz w:val="17"/>
          <w:szCs w:val="17"/>
          <w:color w:val="auto"/>
        </w:rPr>
        <w:t>Participant to understand the terms of this Agreement and the Plan. If the Participant has received this Agreement, or any other document related to these PSUs and/or the Plan translated into a language other than English and if the meaning of the translated version is different than the English version, the English version will control.</w:t>
      </w:r>
    </w:p>
    <w:p>
      <w:pPr>
        <w:sectPr>
          <w:pgSz w:w="11900" w:h="16838" w:orient="portrait"/>
          <w:cols w:equalWidth="0" w:num="1">
            <w:col w:w="10260"/>
          </w:cols>
          <w:pgMar w:left="1320" w:top="1137" w:right="31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186" w:lineRule="exact"/>
        <w:rPr>
          <w:sz w:val="20"/>
          <w:szCs w:val="20"/>
          <w:color w:val="auto"/>
        </w:rPr>
      </w:pPr>
    </w:p>
    <w:p>
      <w:pPr>
        <w:jc w:val="both"/>
        <w:ind w:left="520" w:hanging="260"/>
        <w:spacing w:after="0" w:line="238" w:lineRule="auto"/>
        <w:tabs>
          <w:tab w:leader="none" w:pos="5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Performance Metrics</w:t>
      </w:r>
      <w:r>
        <w:rPr>
          <w:rFonts w:ascii="Times New Roman" w:cs="Times New Roman" w:eastAsia="Times New Roman" w:hAnsi="Times New Roman"/>
          <w:sz w:val="17"/>
          <w:szCs w:val="17"/>
          <w:color w:val="auto"/>
        </w:rPr>
        <w:t>. This Appendix A contains the Performance Conditions and methodology applicable to the PSUs. Subject to the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the Plan, the Agreement and the Notice of Grant, the number of the PSUs subject to the Award, if any, that become vested during each Performance Period corresponding to a Performance Condition will be determined upon the Committee’s certification, in its sole discretion, of achievement of the applicable Performance Conditions in accordance with this Appendix A, which shall occur within sixty (60) days following the end of each of the applicable Performance Periods (the “</w:t>
      </w:r>
      <w:r>
        <w:rPr>
          <w:rFonts w:ascii="Times New Roman" w:cs="Times New Roman" w:eastAsia="Times New Roman" w:hAnsi="Times New Roman"/>
          <w:sz w:val="17"/>
          <w:szCs w:val="17"/>
          <w:u w:val="single" w:color="auto"/>
          <w:color w:val="auto"/>
        </w:rPr>
        <w:t>Certification Date</w:t>
      </w:r>
      <w:r>
        <w:rPr>
          <w:rFonts w:ascii="Times New Roman" w:cs="Times New Roman" w:eastAsia="Times New Roman" w:hAnsi="Times New Roman"/>
          <w:sz w:val="17"/>
          <w:szCs w:val="17"/>
          <w:color w:val="auto"/>
        </w:rPr>
        <w:t>”) and will also be conditioned on the Participant’s continued employment through and including the last day of the corresponding Certification Date. Capitalized terms used but not defined herein shall have the same meaning as is ascribed thereto in the Agreement, the Notice of Grant or the Plan.</w:t>
      </w:r>
    </w:p>
    <w:p>
      <w:pPr>
        <w:spacing w:after="0" w:line="164" w:lineRule="exact"/>
        <w:rPr>
          <w:sz w:val="20"/>
          <w:szCs w:val="20"/>
          <w:color w:val="auto"/>
        </w:rPr>
      </w:pPr>
    </w:p>
    <w:p>
      <w:pPr>
        <w:jc w:val="both"/>
        <w:ind w:left="520" w:hanging="260"/>
        <w:spacing w:after="0" w:line="244" w:lineRule="auto"/>
        <w:tabs>
          <w:tab w:leader="none" w:pos="51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PSUs</w:t>
      </w:r>
      <w:r>
        <w:rPr>
          <w:rFonts w:ascii="Times New Roman" w:cs="Times New Roman" w:eastAsia="Times New Roman" w:hAnsi="Times New Roman"/>
          <w:sz w:val="17"/>
          <w:szCs w:val="17"/>
          <w:color w:val="auto"/>
        </w:rPr>
        <w:t xml:space="preserve">. Upon the Certification Date corresponding to the applicable Performance Condition, the PSUs shall vest in accordance with vesting schedule set forth below. The number of PSUs that will vest on the Certification Date shall be equal to the </w:t>
      </w:r>
      <w:r>
        <w:rPr>
          <w:rFonts w:ascii="Times New Roman" w:cs="Times New Roman" w:eastAsia="Times New Roman" w:hAnsi="Times New Roman"/>
          <w:sz w:val="17"/>
          <w:szCs w:val="17"/>
          <w:i w:val="1"/>
          <w:iCs w:val="1"/>
          <w:u w:val="single" w:color="auto"/>
          <w:color w:val="auto"/>
        </w:rPr>
        <w:t>product of</w:t>
      </w:r>
      <w:r>
        <w:rPr>
          <w:rFonts w:ascii="Times New Roman" w:cs="Times New Roman" w:eastAsia="Times New Roman" w:hAnsi="Times New Roman"/>
          <w:sz w:val="17"/>
          <w:szCs w:val="17"/>
          <w:color w:val="auto"/>
        </w:rPr>
        <w:t xml:space="preserve"> (X) the number of PSUs granted (as specified in the Grant Notice) (the "Granted PSUs"), </w:t>
      </w:r>
      <w:r>
        <w:rPr>
          <w:rFonts w:ascii="Times New Roman" w:cs="Times New Roman" w:eastAsia="Times New Roman" w:hAnsi="Times New Roman"/>
          <w:sz w:val="17"/>
          <w:szCs w:val="17"/>
          <w:i w:val="1"/>
          <w:iCs w:val="1"/>
          <w:u w:val="single" w:color="auto"/>
          <w:color w:val="auto"/>
        </w:rPr>
        <w:t>multiplied by</w:t>
      </w:r>
      <w:r>
        <w:rPr>
          <w:rFonts w:ascii="Times New Roman" w:cs="Times New Roman" w:eastAsia="Times New Roman" w:hAnsi="Times New Roman"/>
          <w:sz w:val="17"/>
          <w:szCs w:val="17"/>
          <w:color w:val="auto"/>
        </w:rPr>
        <w:t xml:space="preserve"> (Y) the PSU Vesting Percentage, </w:t>
      </w:r>
      <w:r>
        <w:rPr>
          <w:rFonts w:ascii="Times New Roman" w:cs="Times New Roman" w:eastAsia="Times New Roman" w:hAnsi="Times New Roman"/>
          <w:sz w:val="17"/>
          <w:szCs w:val="17"/>
          <w:i w:val="1"/>
          <w:iCs w:val="1"/>
          <w:u w:val="single" w:color="auto"/>
          <w:color w:val="auto"/>
        </w:rPr>
        <w:t>multiplied by</w:t>
      </w:r>
      <w:r>
        <w:rPr>
          <w:rFonts w:ascii="Times New Roman" w:cs="Times New Roman" w:eastAsia="Times New Roman" w:hAnsi="Times New Roman"/>
          <w:sz w:val="17"/>
          <w:szCs w:val="17"/>
          <w:color w:val="auto"/>
        </w:rPr>
        <w:t xml:space="preserve"> (Z) the applicable Performance Condition Vesting Percentage (set forth in Section 2).</w:t>
      </w:r>
    </w:p>
    <w:p>
      <w:pPr>
        <w:spacing w:after="0" w:line="15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[Insert for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8515" cy="781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4">
                      <a:extLst>
                        <a:ext uri="{28A0092B-C50C-407E-A947-70E740481C1C}"/>
                      </a:extLst>
                    </a:blip>
                    <a:srcRect/>
                    <a:stretch>
                      <a:fillRect/>
                    </a:stretch>
                  </pic:blipFill>
                  <pic:spPr bwMode="auto">
                    <a:xfrm>
                      <a:off x="0" y="0"/>
                      <a:ext cx="7168515" cy="78168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shd w:val="clear" w:color="auto" w:fill="D0CECE"/>
          </w:tcPr>
          <w:p>
            <w:pPr>
              <w:ind w:left="1140"/>
              <w:spacing w:after="0"/>
              <w:rPr>
                <w:sz w:val="20"/>
                <w:szCs w:val="20"/>
                <w:color w:val="auto"/>
              </w:rPr>
            </w:pPr>
            <w:r>
              <w:rPr>
                <w:rFonts w:ascii="Times New Roman" w:cs="Times New Roman" w:eastAsia="Times New Roman" w:hAnsi="Times New Roman"/>
                <w:sz w:val="17"/>
                <w:szCs w:val="17"/>
                <w:b w:val="1"/>
                <w:bCs w:val="1"/>
                <w:color w:val="auto"/>
              </w:rPr>
              <w:t>PSU Vesting (%)</w:t>
            </w:r>
          </w:p>
        </w:tc>
        <w:tc>
          <w:tcPr>
            <w:tcW w:w="4000" w:type="dxa"/>
            <w:vAlign w:val="bottom"/>
            <w:shd w:val="clear" w:color="auto" w:fill="D0CECE"/>
          </w:tcPr>
          <w:p>
            <w:pPr>
              <w:ind w:left="1340"/>
              <w:spacing w:after="0"/>
              <w:rPr>
                <w:sz w:val="20"/>
                <w:szCs w:val="20"/>
                <w:color w:val="auto"/>
              </w:rPr>
            </w:pPr>
            <w:r>
              <w:rPr>
                <w:rFonts w:ascii="Times New Roman" w:cs="Times New Roman" w:eastAsia="Times New Roman" w:hAnsi="Times New Roman"/>
                <w:sz w:val="17"/>
                <w:szCs w:val="17"/>
                <w:b w:val="1"/>
                <w:bCs w:val="1"/>
                <w:color w:val="auto"/>
              </w:rPr>
              <w:t>Performance Metric</w:t>
            </w:r>
          </w:p>
        </w:tc>
        <w:tc>
          <w:tcPr>
            <w:tcW w:w="3560" w:type="dxa"/>
            <w:vAlign w:val="bottom"/>
            <w:shd w:val="clear" w:color="auto" w:fill="D0CECE"/>
          </w:tcPr>
          <w:p>
            <w:pPr>
              <w:ind w:left="1200"/>
              <w:spacing w:after="0"/>
              <w:rPr>
                <w:sz w:val="20"/>
                <w:szCs w:val="20"/>
                <w:color w:val="auto"/>
              </w:rPr>
            </w:pPr>
            <w:r>
              <w:rPr>
                <w:rFonts w:ascii="Times New Roman" w:cs="Times New Roman" w:eastAsia="Times New Roman" w:hAnsi="Times New Roman"/>
                <w:sz w:val="17"/>
                <w:szCs w:val="17"/>
                <w:b w:val="1"/>
                <w:bCs w:val="1"/>
                <w:color w:val="auto"/>
              </w:rPr>
              <w:t>Performance Period</w:t>
            </w:r>
          </w:p>
        </w:tc>
      </w:tr>
    </w:tbl>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2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i w:val="1"/>
          <w:iCs w:val="1"/>
          <w:color w:val="auto"/>
        </w:rPr>
        <w:t>[Insert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8515" cy="781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7168515" cy="78168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shd w:val="clear" w:color="auto" w:fill="D0CECE"/>
          </w:tcPr>
          <w:p>
            <w:pPr>
              <w:ind w:left="1140"/>
              <w:spacing w:after="0"/>
              <w:rPr>
                <w:sz w:val="20"/>
                <w:szCs w:val="20"/>
                <w:color w:val="auto"/>
              </w:rPr>
            </w:pPr>
            <w:r>
              <w:rPr>
                <w:rFonts w:ascii="Times New Roman" w:cs="Times New Roman" w:eastAsia="Times New Roman" w:hAnsi="Times New Roman"/>
                <w:sz w:val="17"/>
                <w:szCs w:val="17"/>
                <w:b w:val="1"/>
                <w:bCs w:val="1"/>
                <w:color w:val="auto"/>
              </w:rPr>
              <w:t>PSU Vesting (%)</w:t>
            </w:r>
          </w:p>
        </w:tc>
        <w:tc>
          <w:tcPr>
            <w:tcW w:w="4000" w:type="dxa"/>
            <w:vAlign w:val="bottom"/>
            <w:shd w:val="clear" w:color="auto" w:fill="D0CECE"/>
          </w:tcPr>
          <w:p>
            <w:pPr>
              <w:ind w:left="1340"/>
              <w:spacing w:after="0"/>
              <w:rPr>
                <w:sz w:val="20"/>
                <w:szCs w:val="20"/>
                <w:color w:val="auto"/>
              </w:rPr>
            </w:pPr>
            <w:r>
              <w:rPr>
                <w:rFonts w:ascii="Times New Roman" w:cs="Times New Roman" w:eastAsia="Times New Roman" w:hAnsi="Times New Roman"/>
                <w:sz w:val="17"/>
                <w:szCs w:val="17"/>
                <w:b w:val="1"/>
                <w:bCs w:val="1"/>
                <w:color w:val="auto"/>
              </w:rPr>
              <w:t>Performance Metric</w:t>
            </w:r>
          </w:p>
        </w:tc>
        <w:tc>
          <w:tcPr>
            <w:tcW w:w="3560" w:type="dxa"/>
            <w:vAlign w:val="bottom"/>
            <w:shd w:val="clear" w:color="auto" w:fill="D0CECE"/>
          </w:tcPr>
          <w:p>
            <w:pPr>
              <w:ind w:left="1200"/>
              <w:spacing w:after="0"/>
              <w:rPr>
                <w:sz w:val="20"/>
                <w:szCs w:val="20"/>
                <w:color w:val="auto"/>
              </w:rPr>
            </w:pPr>
            <w:r>
              <w:rPr>
                <w:rFonts w:ascii="Times New Roman" w:cs="Times New Roman" w:eastAsia="Times New Roman" w:hAnsi="Times New Roman"/>
                <w:sz w:val="17"/>
                <w:szCs w:val="17"/>
                <w:b w:val="1"/>
                <w:bCs w:val="1"/>
                <w:color w:val="auto"/>
              </w:rPr>
              <w:t>Performance Period</w:t>
            </w:r>
          </w:p>
        </w:tc>
      </w:tr>
    </w:tbl>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420" w:hanging="160"/>
        <w:spacing w:after="0"/>
        <w:tabs>
          <w:tab w:leader="none" w:pos="4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Performance Conditions:</w:t>
      </w:r>
    </w:p>
    <w:p>
      <w:pPr>
        <w:spacing w:after="0" w:line="190" w:lineRule="exact"/>
        <w:rPr>
          <w:sz w:val="20"/>
          <w:szCs w:val="20"/>
          <w:color w:val="auto"/>
        </w:rPr>
      </w:pPr>
    </w:p>
    <w:p>
      <w:pPr>
        <w:ind w:left="520" w:hanging="260"/>
        <w:spacing w:after="0"/>
        <w:tabs>
          <w:tab w:leader="none" w:pos="5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1540" w:hanging="351"/>
        <w:spacing w:after="0"/>
        <w:tabs>
          <w:tab w:leader="none" w:pos="15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w:t>
      </w:r>
      <w:r>
        <w:rPr>
          <w:rFonts w:ascii="Times New Roman" w:cs="Times New Roman" w:eastAsia="Times New Roman" w:hAnsi="Times New Roman"/>
          <w:sz w:val="17"/>
          <w:szCs w:val="17"/>
          <w:color w:val="auto"/>
        </w:rPr>
        <w:t>. “ ” means</w:t>
      </w:r>
      <w:r>
        <w:rPr>
          <w:rFonts w:ascii="Times New Roman" w:cs="Times New Roman" w:eastAsia="Times New Roman" w:hAnsi="Times New Roman"/>
          <w:sz w:val="17"/>
          <w:szCs w:val="17"/>
          <w:i w:val="1"/>
          <w:iCs w:val="1"/>
          <w:color w:val="auto"/>
        </w:rPr>
        <w:t xml:space="preserve"> </w:t>
      </w:r>
      <w:r>
        <w:rPr>
          <w:rFonts w:ascii="Arial" w:cs="Arial" w:eastAsia="Arial" w:hAnsi="Arial"/>
          <w:sz w:val="17"/>
          <w:szCs w:val="17"/>
          <w:color w:val="auto"/>
        </w:rPr>
        <w:t>.</w:t>
      </w:r>
    </w:p>
    <w:p>
      <w:pPr>
        <w:spacing w:after="0" w:line="185" w:lineRule="exact"/>
        <w:rPr>
          <w:rFonts w:ascii="Times New Roman" w:cs="Times New Roman" w:eastAsia="Times New Roman" w:hAnsi="Times New Roman"/>
          <w:sz w:val="17"/>
          <w:szCs w:val="17"/>
          <w:color w:val="auto"/>
        </w:rPr>
      </w:pPr>
    </w:p>
    <w:p>
      <w:pPr>
        <w:ind w:left="1540" w:hanging="399"/>
        <w:spacing w:after="0"/>
        <w:tabs>
          <w:tab w:leader="none" w:pos="15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 Vesting Percentage</w:t>
      </w:r>
      <w:r>
        <w:rPr>
          <w:rFonts w:ascii="Times New Roman" w:cs="Times New Roman" w:eastAsia="Times New Roman" w:hAnsi="Times New Roman"/>
          <w:sz w:val="17"/>
          <w:szCs w:val="17"/>
          <w:color w:val="auto"/>
        </w:rPr>
        <w:t>. “ ”.</w:t>
      </w:r>
    </w:p>
    <w:p>
      <w:pPr>
        <w:sectPr>
          <w:pgSz w:w="11900" w:h="16838" w:orient="portrait"/>
          <w:cols w:equalWidth="0" w:num="1">
            <w:col w:w="11280"/>
          </w:cols>
          <w:pgMar w:left="300" w:top="1133" w:right="319" w:bottom="1440" w:gutter="0" w:footer="0" w:header="0"/>
        </w:sectPr>
      </w:pPr>
    </w:p>
    <w:bookmarkStart w:id="187" w:name="page188"/>
    <w:bookmarkEnd w:id="187"/>
    <w:p>
      <w:pPr>
        <w:ind w:left="760" w:hanging="251"/>
        <w:spacing w:after="0"/>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w:t>
      </w:r>
    </w:p>
    <w:p>
      <w:pPr>
        <w:spacing w:after="0" w:line="13" w:lineRule="exact"/>
        <w:rPr>
          <w:rFonts w:ascii="Times New Roman" w:cs="Times New Roman" w:eastAsia="Times New Roman" w:hAnsi="Times New Roman"/>
          <w:sz w:val="17"/>
          <w:szCs w:val="17"/>
          <w:color w:val="auto"/>
        </w:rPr>
      </w:pPr>
    </w:p>
    <w:p>
      <w:pPr>
        <w:ind w:left="1280" w:hanging="351"/>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w:t>
      </w:r>
      <w:r>
        <w:rPr>
          <w:rFonts w:ascii="Times New Roman" w:cs="Times New Roman" w:eastAsia="Times New Roman" w:hAnsi="Times New Roman"/>
          <w:sz w:val="17"/>
          <w:szCs w:val="17"/>
          <w:color w:val="auto"/>
        </w:rPr>
        <w:t>. “ ” means .</w:t>
      </w:r>
    </w:p>
    <w:p>
      <w:pPr>
        <w:spacing w:after="0" w:line="164" w:lineRule="exact"/>
        <w:rPr>
          <w:rFonts w:ascii="Times New Roman" w:cs="Times New Roman" w:eastAsia="Times New Roman" w:hAnsi="Times New Roman"/>
          <w:sz w:val="17"/>
          <w:szCs w:val="17"/>
          <w:color w:val="auto"/>
        </w:rPr>
      </w:pPr>
    </w:p>
    <w:p>
      <w:pPr>
        <w:ind w:left="1280" w:hanging="399"/>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Condition Vesting Percentage. </w:t>
      </w:r>
      <w:r>
        <w:rPr>
          <w:rFonts w:ascii="Times New Roman" w:cs="Times New Roman" w:eastAsia="Times New Roman" w:hAnsi="Times New Roman"/>
          <w:sz w:val="17"/>
          <w:szCs w:val="17"/>
          <w:color w:val="auto"/>
        </w:rPr>
        <w:t>“ ”.</w:t>
      </w:r>
    </w:p>
    <w:p>
      <w:pPr>
        <w:spacing w:after="0" w:line="190"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w:t>
      </w:r>
    </w:p>
    <w:p>
      <w:pPr>
        <w:spacing w:after="0" w:line="13" w:lineRule="exact"/>
        <w:rPr>
          <w:rFonts w:ascii="Times New Roman" w:cs="Times New Roman" w:eastAsia="Times New Roman" w:hAnsi="Times New Roman"/>
          <w:sz w:val="17"/>
          <w:szCs w:val="17"/>
          <w:color w:val="auto"/>
        </w:rPr>
      </w:pPr>
    </w:p>
    <w:p>
      <w:pPr>
        <w:ind w:left="1280" w:hanging="351"/>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Condition. </w:t>
      </w:r>
      <w:r>
        <w:rPr>
          <w:rFonts w:ascii="Times New Roman" w:cs="Times New Roman" w:eastAsia="Times New Roman" w:hAnsi="Times New Roman"/>
          <w:sz w:val="17"/>
          <w:szCs w:val="17"/>
          <w:color w:val="auto"/>
        </w:rPr>
        <w:t>“ ” means .</w:t>
      </w:r>
    </w:p>
    <w:p>
      <w:pPr>
        <w:spacing w:after="0" w:line="164" w:lineRule="exact"/>
        <w:rPr>
          <w:rFonts w:ascii="Times New Roman" w:cs="Times New Roman" w:eastAsia="Times New Roman" w:hAnsi="Times New Roman"/>
          <w:sz w:val="17"/>
          <w:szCs w:val="17"/>
          <w:color w:val="auto"/>
        </w:rPr>
      </w:pPr>
    </w:p>
    <w:p>
      <w:pPr>
        <w:ind w:left="1280" w:hanging="399"/>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 Vesting Percentage</w:t>
      </w:r>
      <w:r>
        <w:rPr>
          <w:rFonts w:ascii="Times New Roman" w:cs="Times New Roman" w:eastAsia="Times New Roman" w:hAnsi="Times New Roman"/>
          <w:sz w:val="17"/>
          <w:szCs w:val="17"/>
          <w:color w:val="auto"/>
        </w:rPr>
        <w:t>. “ ”.</w:t>
      </w:r>
    </w:p>
    <w:p>
      <w:pPr>
        <w:spacing w:after="0" w:line="179"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w:t>
      </w:r>
    </w:p>
    <w:p>
      <w:pPr>
        <w:spacing w:after="0" w:line="13" w:lineRule="exact"/>
        <w:rPr>
          <w:rFonts w:ascii="Times New Roman" w:cs="Times New Roman" w:eastAsia="Times New Roman" w:hAnsi="Times New Roman"/>
          <w:sz w:val="17"/>
          <w:szCs w:val="17"/>
          <w:color w:val="auto"/>
        </w:rPr>
      </w:pPr>
    </w:p>
    <w:p>
      <w:pPr>
        <w:ind w:left="1280" w:hanging="351"/>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w:t>
      </w:r>
      <w:r>
        <w:rPr>
          <w:rFonts w:ascii="Times New Roman" w:cs="Times New Roman" w:eastAsia="Times New Roman" w:hAnsi="Times New Roman"/>
          <w:sz w:val="17"/>
          <w:szCs w:val="17"/>
          <w:color w:val="auto"/>
        </w:rPr>
        <w:t>. “ ” means</w:t>
      </w:r>
      <w:r>
        <w:rPr>
          <w:rFonts w:ascii="Times New Roman" w:cs="Times New Roman" w:eastAsia="Times New Roman" w:hAnsi="Times New Roman"/>
          <w:sz w:val="17"/>
          <w:szCs w:val="17"/>
          <w:i w:val="1"/>
          <w:iCs w:val="1"/>
          <w:color w:val="auto"/>
        </w:rPr>
        <w:t xml:space="preserve"> </w:t>
      </w:r>
      <w:r>
        <w:rPr>
          <w:rFonts w:ascii="Arial" w:cs="Arial" w:eastAsia="Arial" w:hAnsi="Arial"/>
          <w:sz w:val="17"/>
          <w:szCs w:val="17"/>
          <w:color w:val="auto"/>
        </w:rPr>
        <w:t>.</w:t>
      </w:r>
    </w:p>
    <w:p>
      <w:pPr>
        <w:spacing w:after="0" w:line="163" w:lineRule="exact"/>
        <w:rPr>
          <w:rFonts w:ascii="Times New Roman" w:cs="Times New Roman" w:eastAsia="Times New Roman" w:hAnsi="Times New Roman"/>
          <w:sz w:val="17"/>
          <w:szCs w:val="17"/>
          <w:color w:val="auto"/>
        </w:rPr>
      </w:pPr>
    </w:p>
    <w:p>
      <w:pPr>
        <w:ind w:left="1280" w:hanging="399"/>
        <w:spacing w:after="0"/>
        <w:tabs>
          <w:tab w:leader="none" w:pos="128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Condition Vesting Percentage</w:t>
      </w:r>
      <w:r>
        <w:rPr>
          <w:rFonts w:ascii="Times New Roman" w:cs="Times New Roman" w:eastAsia="Times New Roman" w:hAnsi="Times New Roman"/>
          <w:sz w:val="17"/>
          <w:szCs w:val="17"/>
          <w:color w:val="auto"/>
        </w:rPr>
        <w:t>. “ ”.</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0"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in Control; Certain Qualifying Terminations.</w:t>
      </w:r>
    </w:p>
    <w:p>
      <w:pPr>
        <w:spacing w:after="0" w:line="190" w:lineRule="exact"/>
        <w:rPr>
          <w:sz w:val="20"/>
          <w:szCs w:val="20"/>
          <w:color w:val="auto"/>
        </w:rPr>
      </w:pPr>
    </w:p>
    <w:p>
      <w:pPr>
        <w:jc w:val="both"/>
        <w:ind w:left="260" w:hanging="260"/>
        <w:spacing w:after="0" w:line="241" w:lineRule="auto"/>
        <w:tabs>
          <w:tab w:leader="none" w:pos="25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in Control prior to the end of the Performance Period, the Performance Period shall be truncated to end immediately prior to the Change in Control and the attainment of the Performance Conditions and any resulting vesting (the "</w:t>
      </w:r>
      <w:r>
        <w:rPr>
          <w:rFonts w:ascii="Times New Roman" w:cs="Times New Roman" w:eastAsia="Times New Roman" w:hAnsi="Times New Roman"/>
          <w:sz w:val="17"/>
          <w:szCs w:val="17"/>
          <w:u w:val="single" w:color="auto"/>
          <w:color w:val="auto"/>
        </w:rPr>
        <w:t>CIC Vesting Percentage</w:t>
      </w:r>
      <w:r>
        <w:rPr>
          <w:rFonts w:ascii="Times New Roman" w:cs="Times New Roman" w:eastAsia="Times New Roman" w:hAnsi="Times New Roman"/>
          <w:sz w:val="17"/>
          <w:szCs w:val="17"/>
          <w:color w:val="auto"/>
        </w:rPr>
        <w:t xml:space="preserve">") shall be assessed as of such time in accordance with the Change in Control vesting terms set forth in Section 3(b). The number of PSUs that will vest pursuant to this Section 3(a) shall be equal to the </w:t>
      </w:r>
      <w:r>
        <w:rPr>
          <w:rFonts w:ascii="Times New Roman" w:cs="Times New Roman" w:eastAsia="Times New Roman" w:hAnsi="Times New Roman"/>
          <w:sz w:val="17"/>
          <w:szCs w:val="17"/>
          <w:i w:val="1"/>
          <w:iCs w:val="1"/>
          <w:u w:val="single" w:color="auto"/>
          <w:color w:val="auto"/>
        </w:rPr>
        <w:t>product of</w:t>
      </w:r>
      <w:r>
        <w:rPr>
          <w:rFonts w:ascii="Times New Roman" w:cs="Times New Roman" w:eastAsia="Times New Roman" w:hAnsi="Times New Roman"/>
          <w:sz w:val="17"/>
          <w:szCs w:val="17"/>
          <w:color w:val="auto"/>
        </w:rPr>
        <w:t xml:space="preserve"> (X) number of Granted PSUs, </w:t>
      </w:r>
      <w:r>
        <w:rPr>
          <w:rFonts w:ascii="Times New Roman" w:cs="Times New Roman" w:eastAsia="Times New Roman" w:hAnsi="Times New Roman"/>
          <w:sz w:val="17"/>
          <w:szCs w:val="17"/>
          <w:i w:val="1"/>
          <w:iCs w:val="1"/>
          <w:u w:val="single" w:color="auto"/>
          <w:color w:val="auto"/>
        </w:rPr>
        <w:t>multiplied by</w:t>
      </w:r>
      <w:r>
        <w:rPr>
          <w:rFonts w:ascii="Times New Roman" w:cs="Times New Roman" w:eastAsia="Times New Roman" w:hAnsi="Times New Roman"/>
          <w:sz w:val="17"/>
          <w:szCs w:val="17"/>
          <w:color w:val="auto"/>
        </w:rPr>
        <w:t xml:space="preserve"> (Y) the PSU Vesting Percentage, </w:t>
      </w:r>
      <w:r>
        <w:rPr>
          <w:rFonts w:ascii="Times New Roman" w:cs="Times New Roman" w:eastAsia="Times New Roman" w:hAnsi="Times New Roman"/>
          <w:sz w:val="17"/>
          <w:szCs w:val="17"/>
          <w:i w:val="1"/>
          <w:iCs w:val="1"/>
          <w:u w:val="single" w:color="auto"/>
          <w:color w:val="auto"/>
        </w:rPr>
        <w:t>multiplied by</w:t>
      </w:r>
      <w:r>
        <w:rPr>
          <w:rFonts w:ascii="Times New Roman" w:cs="Times New Roman" w:eastAsia="Times New Roman" w:hAnsi="Times New Roman"/>
          <w:sz w:val="17"/>
          <w:szCs w:val="17"/>
          <w:color w:val="auto"/>
        </w:rPr>
        <w:t xml:space="preserve"> (Z) the applicable CIC Vesting Percentage (set forth in this Section 3).</w:t>
      </w:r>
    </w:p>
    <w:p>
      <w:pPr>
        <w:spacing w:after="0" w:line="164" w:lineRule="exact"/>
        <w:rPr>
          <w:rFonts w:ascii="Times New Roman" w:cs="Times New Roman" w:eastAsia="Times New Roman" w:hAnsi="Times New Roman"/>
          <w:sz w:val="17"/>
          <w:szCs w:val="17"/>
          <w:color w:val="auto"/>
        </w:rPr>
      </w:pPr>
    </w:p>
    <w:p>
      <w:pPr>
        <w:ind w:left="260" w:hanging="260"/>
        <w:spacing w:after="0"/>
        <w:tabs>
          <w:tab w:leader="none" w:pos="2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CIC Vesting Percentage Upon a Change in Control</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760" w:hanging="251"/>
        <w:spacing w:after="0" w:line="254" w:lineRule="auto"/>
        <w:tabs>
          <w:tab w:leader="none" w:pos="75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Acceleration Vesting Percentage for the PSUs eligible to vest in connection with the “ ” shall be [</w:t>
      </w:r>
      <w:r>
        <w:rPr>
          <w:rFonts w:ascii="Arial" w:cs="Arial" w:eastAsia="Arial" w:hAnsi="Arial"/>
          <w:sz w:val="17"/>
          <w:szCs w:val="17"/>
          <w:color w:val="auto"/>
        </w:rPr>
        <w:t>·</w:t>
      </w:r>
      <w:r>
        <w:rPr>
          <w:rFonts w:ascii="Times New Roman" w:cs="Times New Roman" w:eastAsia="Times New Roman" w:hAnsi="Times New Roman"/>
          <w:sz w:val="17"/>
          <w:szCs w:val="17"/>
          <w:color w:val="auto"/>
        </w:rPr>
        <w:t>]% if “ ” but the Certification Date has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occurred as of the Change in Control. Otherwise, it shall be 0%.</w:t>
      </w:r>
    </w:p>
    <w:p>
      <w:pPr>
        <w:spacing w:after="0" w:line="147" w:lineRule="exact"/>
        <w:rPr>
          <w:rFonts w:ascii="Times New Roman" w:cs="Times New Roman" w:eastAsia="Times New Roman" w:hAnsi="Times New Roman"/>
          <w:sz w:val="17"/>
          <w:szCs w:val="17"/>
          <w:color w:val="auto"/>
        </w:rPr>
      </w:pPr>
    </w:p>
    <w:p>
      <w:pPr>
        <w:ind w:left="760" w:hanging="251"/>
        <w:spacing w:after="0"/>
        <w:tabs>
          <w:tab w:leader="none" w:pos="76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color w:val="auto"/>
        </w:rPr>
        <w:t>. The Acceleration Vesting Percentage for the “ ” shall be:</w:t>
      </w:r>
    </w:p>
    <w:p>
      <w:pPr>
        <w:spacing w:after="0" w:line="190" w:lineRule="exact"/>
        <w:rPr>
          <w:rFonts w:ascii="Times New Roman" w:cs="Times New Roman" w:eastAsia="Times New Roman" w:hAnsi="Times New Roman"/>
          <w:sz w:val="17"/>
          <w:szCs w:val="17"/>
          <w:color w:val="auto"/>
        </w:rPr>
      </w:pPr>
    </w:p>
    <w:p>
      <w:pPr>
        <w:ind w:left="1280" w:hanging="262"/>
        <w:spacing w:after="0"/>
        <w:tabs>
          <w:tab w:leader="none" w:pos="1280" w:val="left"/>
        </w:tabs>
        <w:numPr>
          <w:ilvl w:val="2"/>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or</w:t>
      </w:r>
    </w:p>
    <w:p>
      <w:pPr>
        <w:spacing w:after="0" w:line="186" w:lineRule="exact"/>
        <w:rPr>
          <w:rFonts w:ascii="Times New Roman" w:cs="Times New Roman" w:eastAsia="Times New Roman" w:hAnsi="Times New Roman"/>
          <w:sz w:val="17"/>
          <w:szCs w:val="17"/>
          <w:color w:val="auto"/>
        </w:rPr>
      </w:pPr>
    </w:p>
    <w:p>
      <w:pPr>
        <w:ind w:left="1280" w:hanging="262"/>
        <w:spacing w:after="0" w:line="263" w:lineRule="auto"/>
        <w:tabs>
          <w:tab w:leader="none" w:pos="1280" w:val="left"/>
        </w:tabs>
        <w:numPr>
          <w:ilvl w:val="2"/>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 ” has not been attained immediately prior to the Change in Control, the lower of 60% and the Performance Vesting Condition Percentage applicable to the quarter that follows the Change in Control.</w:t>
      </w:r>
    </w:p>
    <w:p>
      <w:pPr>
        <w:spacing w:after="0" w:line="140"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color w:val="auto"/>
        </w:rPr>
        <w:t>. The Acceleration Vesting Percentage for the “ ” shall be determined in accordance with the following schedule “:</w:t>
      </w:r>
    </w:p>
    <w:p>
      <w:pPr>
        <w:spacing w:after="0" w:line="18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i w:val="1"/>
          <w:iCs w:val="1"/>
          <w:color w:val="auto"/>
        </w:rPr>
        <w:t>[Insert for Chief Executive Officer]</w:t>
      </w:r>
    </w:p>
    <w:p>
      <w:pPr>
        <w:sectPr>
          <w:pgSz w:w="11900" w:h="16838" w:orient="portrait"/>
          <w:cols w:equalWidth="0" w:num="1">
            <w:col w:w="11020"/>
          </w:cols>
          <w:pgMar w:left="560" w:top="1328" w:right="319" w:bottom="1440" w:gutter="0" w:footer="0" w:header="0"/>
        </w:sectPr>
      </w:pPr>
    </w:p>
    <w:bookmarkStart w:id="188" w:name="page189"/>
    <w:bookmarkEnd w:id="188"/>
    <w:p>
      <w:pPr>
        <w:ind w:left="53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840105</wp:posOffset>
            </wp:positionH>
            <wp:positionV relativeFrom="page">
              <wp:posOffset>870585</wp:posOffset>
            </wp:positionV>
            <wp:extent cx="5005705" cy="6267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5005705" cy="626745"/>
                    </a:xfrm>
                    <a:prstGeom prst="rect">
                      <a:avLst/>
                    </a:prstGeom>
                    <a:noFill/>
                  </pic:spPr>
                </pic:pic>
              </a:graphicData>
            </a:graphic>
          </wp:anchor>
        </w:drawing>
        <w:t>Acceleration Vesting Percentage</w:t>
      </w:r>
    </w:p>
    <w:p>
      <w:pPr>
        <w:spacing w:after="0" w:line="5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2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i w:val="1"/>
          <w:iCs w:val="1"/>
          <w:color w:val="auto"/>
        </w:rPr>
        <w:t>[Insert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147320</wp:posOffset>
            </wp:positionV>
            <wp:extent cx="5005705" cy="6267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5005705" cy="626745"/>
                    </a:xfrm>
                    <a:prstGeom prst="rect">
                      <a:avLst/>
                    </a:prstGeom>
                    <a:noFill/>
                  </pic:spPr>
                </pic:pic>
              </a:graphicData>
            </a:graphic>
          </wp:anchor>
        </w:drawing>
      </w: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Acceleration Vesting Percentage</w:t>
      </w:r>
    </w:p>
    <w:p>
      <w:pPr>
        <w:spacing w:after="0" w:line="5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w:t>
      </w:r>
    </w:p>
    <w:p>
      <w:pPr>
        <w:spacing w:after="0" w:line="278" w:lineRule="exact"/>
        <w:rPr>
          <w:sz w:val="20"/>
          <w:szCs w:val="20"/>
          <w:color w:val="auto"/>
        </w:rPr>
      </w:pPr>
    </w:p>
    <w:p>
      <w:pPr>
        <w:jc w:val="both"/>
        <w:ind w:left="760" w:hanging="251"/>
        <w:spacing w:after="0" w:line="251" w:lineRule="auto"/>
        <w:tabs>
          <w:tab w:leader="none" w:pos="90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Acceleration Vesting Percentage for the “” shall be determined in accordance with the following schedule, or a percentage using linear interpolation if actual performance falls between “ ” and “ ” (and rounded to the nearest whole percentage point, and if equally between two percentage points, rounded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-271780</wp:posOffset>
            </wp:positionV>
            <wp:extent cx="9334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125095</wp:posOffset>
            </wp:positionV>
            <wp:extent cx="4770120" cy="6267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9">
                      <a:extLst>
                        <a:ext uri="{28A0092B-C50C-407E-A947-70E740481C1C}"/>
                      </a:extLst>
                    </a:blip>
                    <a:srcRect/>
                    <a:stretch>
                      <a:fillRect/>
                    </a:stretch>
                  </pic:blipFill>
                  <pic:spPr bwMode="auto">
                    <a:xfrm>
                      <a:off x="0" y="0"/>
                      <a:ext cx="4770120" cy="626745"/>
                    </a:xfrm>
                    <a:prstGeom prst="rect">
                      <a:avLst/>
                    </a:prstGeom>
                    <a:noFill/>
                  </pic:spPr>
                </pic:pic>
              </a:graphicData>
            </a:graphic>
          </wp:anchor>
        </w:drawing>
      </w:r>
    </w:p>
    <w:p>
      <w:pPr>
        <w:spacing w:after="0" w:line="18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Acceleration Vesting Percentage</w:t>
      </w:r>
    </w:p>
    <w:p>
      <w:pPr>
        <w:spacing w:after="0" w:line="5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w:t>
      </w:r>
    </w:p>
    <w:p>
      <w:pPr>
        <w:spacing w:after="0" w:line="293" w:lineRule="exact"/>
        <w:rPr>
          <w:sz w:val="20"/>
          <w:szCs w:val="20"/>
          <w:color w:val="auto"/>
        </w:rPr>
      </w:pPr>
    </w:p>
    <w:p>
      <w:pPr>
        <w:jc w:val="both"/>
        <w:ind w:left="260" w:hanging="260"/>
        <w:spacing w:after="0" w:line="239" w:lineRule="auto"/>
        <w:tabs>
          <w:tab w:leader="none" w:pos="37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Participant becomes eligible for benefits under Section 5 of the Key Executive Plan prior to the end of the Performance Period under circumstances where a Qualifying Termination occurs during the three (3) months prior to the Change in Control, any PSUs that are unvested as of immediately prior to the Qualifying Termination shall remain outstanding until immediately prior to the Change in Control and the Participant shall be eligible for the Change in Control vesting terms set forth in Section 3(a).</w:t>
      </w:r>
    </w:p>
    <w:p>
      <w:pPr>
        <w:sectPr>
          <w:pgSz w:w="11900" w:h="16838" w:orient="portrait"/>
          <w:cols w:equalWidth="0" w:num="1">
            <w:col w:w="11020"/>
          </w:cols>
          <w:pgMar w:left="560" w:top="1377" w:right="31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B</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APPENDIX TO PERFORMANCE STOCK UNIT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NON-U.S. PARTICIPANTS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Capitalized terms used but not defined in this Appendix B shall have the same meanings as set forth in the Plan, the Notice of Grant and/or the Terms and Conditions of Performance Stock Unit Award (“</w:t>
      </w:r>
      <w:r>
        <w:rPr>
          <w:rFonts w:ascii="Times New Roman" w:cs="Times New Roman" w:eastAsia="Times New Roman" w:hAnsi="Times New Roman"/>
          <w:sz w:val="17"/>
          <w:szCs w:val="17"/>
          <w:b w:val="1"/>
          <w:bCs w:val="1"/>
          <w:i w:val="1"/>
          <w:iCs w:val="1"/>
          <w:color w:val="auto"/>
        </w:rPr>
        <w:t>Terms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This Appendix B includes additional terms and conditions that govern these PSUs granted to the Participant under the Plan if he or she resides and/or works in one of the countries listed below. If the Participant is a citizen or resident (or is considered as such for local law purposes) of a country other than the country in which the Participant is currently residing and/or working, or if Participant relocates to another country after the PSUs are granted, the Administrator shall, in its discretion, determine to what extent the terms and conditions in this Appendix B will apply to the Participant.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This Appendix B may also include information regarding securities laws and certain other issues of which the Participant should be aware with respect to participation in the Plan. The information is based on the securities, exchange control, and other Applicable Laws in effect in the respective countries as of </w:t>
      </w:r>
      <w:r>
        <w:rPr>
          <w:rFonts w:ascii="Times New Roman" w:cs="Times New Roman" w:eastAsia="Times New Roman" w:hAnsi="Times New Roman"/>
          <w:sz w:val="17"/>
          <w:szCs w:val="17"/>
          <w:b w:val="1"/>
          <w:bCs w:val="1"/>
          <w:color w:val="auto"/>
        </w:rPr>
        <w:t>March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2025</w:t>
      </w:r>
      <w:r>
        <w:rPr>
          <w:rFonts w:ascii="Times New Roman" w:cs="Times New Roman" w:eastAsia="Times New Roman" w:hAnsi="Times New Roman"/>
          <w:sz w:val="17"/>
          <w:szCs w:val="17"/>
          <w:color w:val="auto"/>
        </w:rPr>
        <w:t>. Such laws are often complex and change frequently. As a result, the Company strongly recommends that the Participant not rely on the information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Appendix as the only source of information relating to the consequences of participation in the Plan because the information may be out of date at the time the Participant vests in or sells the Shares acquired under the Plan.</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In addition, the information contained in this Appendix B is general in nature and may not apply to the Participant’s particular situation, and the Company is not in a position to assure him or her of a particular result. The Participant is advised to seek appropriate professional advice as to how the relevant laws in his or her country may apply to his or her situation.</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Finally, if the Participant is a citizen or resident (or is considered as such for local law purposes) of a country other than the country in which the Participant is currently residing and/or working, or if the Participant relocates to another country after the PSUs are granted, the notifications contained herein may not be applicable to the Participant in the same manner.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Form of Settlement</w:t>
      </w:r>
      <w:r>
        <w:rPr>
          <w:rFonts w:ascii="Times New Roman" w:cs="Times New Roman" w:eastAsia="Times New Roman" w:hAnsi="Times New Roman"/>
          <w:sz w:val="17"/>
          <w:szCs w:val="17"/>
          <w:color w:val="auto"/>
        </w:rPr>
        <w:t>. The following provision supplements Section 2 of the Terms:</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Notwithstanding any discretion in the Plan, PSUs granted to Participants in Canada shall be paid in Shares and do not provide any right for the Participant to receive a cash payment.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The following provision replaces Section 5 of the Terms:</w:t>
      </w:r>
    </w:p>
    <w:p>
      <w:pPr>
        <w:sectPr>
          <w:pgSz w:w="11900" w:h="16838" w:orient="portrait"/>
          <w:cols w:equalWidth="0" w:num="1">
            <w:col w:w="11280"/>
          </w:cols>
          <w:pgMar w:left="300" w:top="1133" w:right="319" w:bottom="1440" w:gutter="0" w:footer="0" w:header="0"/>
        </w:sectPr>
      </w:pPr>
    </w:p>
    <w:bookmarkStart w:id="190" w:name="page191"/>
    <w:bookmarkEnd w:id="190"/>
    <w:p>
      <w:pPr>
        <w:jc w:val="both"/>
        <w:spacing w:after="0" w:line="236" w:lineRule="auto"/>
        <w:rPr>
          <w:sz w:val="20"/>
          <w:szCs w:val="20"/>
          <w:color w:val="auto"/>
        </w:rPr>
      </w:pPr>
      <w:r>
        <w:rPr>
          <w:rFonts w:ascii="Times New Roman" w:cs="Times New Roman" w:eastAsia="Times New Roman" w:hAnsi="Times New Roman"/>
          <w:sz w:val="17"/>
          <w:szCs w:val="17"/>
          <w:color w:val="auto"/>
        </w:rPr>
        <w:t>Upon the Participant’s termination as a Service Provider for any reason, these PSUs will immediately stop vesting and any of the PSUs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the unvested PSUs. For purposes of these PSUs, the Participant’s status as a Service Provider will be considered to be terminated as of the date the Participant is no longer actively providing services to the Company, or if different, the Subsidiary, Parent or other member of the Company Group to which the Participant is providing services (the “</w:t>
      </w:r>
      <w:r>
        <w:rPr>
          <w:rFonts w:ascii="Times New Roman" w:cs="Times New Roman" w:eastAsia="Times New Roman" w:hAnsi="Times New Roman"/>
          <w:sz w:val="17"/>
          <w:szCs w:val="17"/>
          <w:b w:val="1"/>
          <w:bCs w:val="1"/>
          <w:i w:val="1"/>
          <w:iCs w:val="1"/>
          <w:color w:val="auto"/>
        </w:rPr>
        <w:t>Service Recipient</w:t>
      </w:r>
      <w:r>
        <w:rPr>
          <w:rFonts w:ascii="Times New Roman" w:cs="Times New Roman" w:eastAsia="Times New Roman" w:hAnsi="Times New Roman"/>
          <w:sz w:val="17"/>
          <w:szCs w:val="17"/>
          <w:color w:val="auto"/>
        </w:rPr>
        <w:t>”) (regardless of the reason for such termination and whether or not later found to be invalid or in breach of labor laws in the jurisdiction where the Participant is rendering services or the terms of the Participant’s employment contract or service agreement, if any) as of the date that is the earliest of (a) the date the Participant’s service relationship is terminated, (b) the date the Participant receives notice of termination from the Service Recipient, or (c) the date the Participant is no longer actively providing service to the Company or Service Recipient, regardless of any notice period or period of pay in lieu of such notice required under applicable law (including, but not limited to statutory law, regulatory law and/or common law). The Administrator shall have the exclusive discretion to determine when the Participant is no longer actively employed or providing services for purposes of these PSUs (including whether the Participant may still be considered to be providing services while on a leave of absence).</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Notwithstanding the foregoing, if applicable employment standards legislation explicitly requires continued entitlement to vesting during a statutory notice period, the Participant’s right to vest in the PSUs under the Plan, if any, will terminate effective as of the last day of his or her minimum statutory notice period, but the Participant will not earn or be entitled to pro-rated vesting if the vesting date falls after the end of the Participant’s statutory notice period, nor will he or she be entitled to any compensation for lost vesting.</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Administrator shall have the exclusive discretion to determine when the Participant is no longer providing services for purposes of the PSUs (including whether the Participant may still be considered to be providing services while on a leave of absence).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provisions apply if the Participant is a resident of Quebec:</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u w:val="single" w:color="auto"/>
          <w:color w:val="auto"/>
        </w:rPr>
        <w:t>French Language Documents</w:t>
      </w:r>
      <w:r>
        <w:rPr>
          <w:rFonts w:ascii="Times New Roman" w:cs="Times New Roman" w:eastAsia="Times New Roman" w:hAnsi="Times New Roman"/>
          <w:sz w:val="17"/>
          <w:szCs w:val="17"/>
          <w:color w:val="auto"/>
        </w:rPr>
        <w:t>. A French translation of the Terms, this Appendix B and the Plan will be provided to you. The Participant understands that, from time to time, additional information related to the PSUs may be provided in English and such information may not be immediately available in French. However, upon request, the Company will provide a translation of such information into French as soon as reasonably practicable. Notwithstanding anything to the contrary in the Terms, and unless the Participant indicates otherwise, the French translation of this document and the Plan will govern the Participant’s PSUs and the Participant’s participation in the Plan.</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i w:val="1"/>
          <w:iCs w:val="1"/>
          <w:u w:val="single" w:color="auto"/>
          <w:color w:val="auto"/>
        </w:rPr>
        <w:t>Documents en français</w:t>
      </w:r>
      <w:r>
        <w:rPr>
          <w:rFonts w:ascii="Times New Roman" w:cs="Times New Roman" w:eastAsia="Times New Roman" w:hAnsi="Times New Roman"/>
          <w:sz w:val="17"/>
          <w:szCs w:val="17"/>
          <w:i w:val="1"/>
          <w:iCs w:val="1"/>
          <w:color w:val="auto"/>
        </w:rPr>
        <w:t>. Une traduction française des Termes et Conditions, de la présente Annexe et du Régime vous sera fournie. Le Participant comprend que, de temps à autre, des informations supplémentaires relatives aux PSUs peuvent être fournies en anglais et que ces informations peuvent ne pas être immédiatement disponibles en français. Toutefois, sur demande, la Société fournira une traduction de ces informations en français dès que cela sera raisonnablement possible. Nonobstant toute disposition contraire dans les Termes et Conditions, et à moins que le Participant n’indique le contraire, la traduction française du présent document et le Régime régira les PSUs du Participant et sa participation au Régime.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The following provision supplements Section 10 of the Terms:</w:t>
      </w:r>
    </w:p>
    <w:p>
      <w:pPr>
        <w:sectPr>
          <w:pgSz w:w="11900" w:h="16838" w:orient="portrait"/>
          <w:cols w:equalWidth="0" w:num="1">
            <w:col w:w="11280"/>
          </w:cols>
          <w:pgMar w:left="300" w:top="1137" w:right="319" w:bottom="1440" w:gutter="0" w:footer="0" w:header="0"/>
        </w:sectPr>
      </w:pPr>
    </w:p>
    <w:bookmarkStart w:id="191" w:name="page192"/>
    <w:bookmarkEnd w:id="191"/>
    <w:p>
      <w:pPr>
        <w:jc w:val="both"/>
        <w:spacing w:after="0" w:line="237" w:lineRule="auto"/>
        <w:rPr>
          <w:sz w:val="20"/>
          <w:szCs w:val="20"/>
          <w:color w:val="auto"/>
        </w:rPr>
      </w:pPr>
      <w:r>
        <w:rPr>
          <w:rFonts w:ascii="Times New Roman" w:cs="Times New Roman" w:eastAsia="Times New Roman" w:hAnsi="Times New Roman"/>
          <w:sz w:val="17"/>
          <w:szCs w:val="17"/>
          <w:color w:val="auto"/>
        </w:rPr>
        <w:t>The Participant hereby authorizes the Company and the Company’s representatives to discuss and obtain all relevant information from all personnel, professional or non-professional, involved in the administration of the Plan. The Participant further authorize the Company or the Service Recipient and the Stock Plan Administrator to disclose and discuss the Plan and the Participant’s participation in the Plan with their advisors. The Participant further authorizes the Company or the Service Recipient to record such information and to keep such information in the Participant’s personnel file. The Participant acknowledges and agree that the Participant’s personal information, including any sensitive personal information, may be transferred or disclosed outside the province of Quebec, including to the U.S. If applicable, the Participant also acknowledges and authorizes the Company or the Service Recipient, and the Stock Plan Administrator to use technology for profiling purposes and to make automated decisions that may have an impact on the Participant or the administration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u w:val="single" w:color="auto"/>
          <w:color w:val="auto"/>
        </w:rPr>
        <w:t>Securities Law Information</w:t>
      </w:r>
      <w:r>
        <w:rPr>
          <w:rFonts w:ascii="Times New Roman" w:cs="Times New Roman" w:eastAsia="Times New Roman" w:hAnsi="Times New Roman"/>
          <w:sz w:val="17"/>
          <w:szCs w:val="17"/>
          <w:color w:val="auto"/>
        </w:rPr>
        <w:t>. The Participant will not be permitted to sell or otherwise dispose of the Shares acquired upon vesting of these PSUs within Canada. The Participant will only be permitted to sell or dispose of any Shares if such sale or disposal takes place outside of Canada through the facilities of a U.S. stock exchange on which the Shares are listed. The Shares are currently listed on the Nasdaq Global Select Stock Market.</w:t>
      </w:r>
    </w:p>
    <w:p>
      <w:pPr>
        <w:sectPr>
          <w:pgSz w:w="11900" w:h="16838" w:orient="portrait"/>
          <w:cols w:equalWidth="0" w:num="1">
            <w:col w:w="11280"/>
          </w:cols>
          <w:pgMar w:left="300" w:top="1137" w:right="319" w:bottom="1440" w:gutter="0" w:footer="0" w:header="0"/>
        </w:sectPr>
      </w:pPr>
    </w:p>
    <w:bookmarkStart w:id="192" w:name="page193"/>
    <w:bookmarkEnd w:id="192"/>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both"/>
        <w:spacing w:after="0" w:line="249" w:lineRule="auto"/>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both"/>
        <w:spacing w:after="0" w:line="24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both"/>
        <w:spacing w:after="0" w:line="249" w:lineRule="auto"/>
        <w:rPr>
          <w:sz w:val="20"/>
          <w:szCs w:val="20"/>
          <w:color w:val="auto"/>
        </w:rPr>
      </w:pPr>
    </w:p>
    <w:p>
      <w:pPr>
        <w:sectPr>
          <w:pgSz w:w="11900" w:h="16838" w:orient="portrait"/>
          <w:cols w:equalWidth="1" w:num="1" w:space="0"/>
          <w:pgMar w:left="1440" w:top="1440" w:right="1440" w:bottom="875"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SONDER HOLDINGS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Outside Director Compensation Policy</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This Outside Director Compensation Policy (the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describes the cash compensation, grants of equity awards and other compensation or reimbursements (collectively, “</w:t>
      </w:r>
      <w:r>
        <w:rPr>
          <w:rFonts w:ascii="Times New Roman" w:cs="Times New Roman" w:eastAsia="Times New Roman" w:hAnsi="Times New Roman"/>
          <w:sz w:val="16"/>
          <w:szCs w:val="16"/>
          <w:u w:val="single" w:color="auto"/>
          <w:color w:val="auto"/>
        </w:rPr>
        <w:t>Director Compensation</w:t>
      </w:r>
      <w:r>
        <w:rPr>
          <w:rFonts w:ascii="Times New Roman" w:cs="Times New Roman" w:eastAsia="Times New Roman" w:hAnsi="Times New Roman"/>
          <w:sz w:val="16"/>
          <w:szCs w:val="16"/>
          <w:color w:val="auto"/>
        </w:rPr>
        <w:t>”) to be provided to non-employee members of the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of Sonder Holdings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Non-employee members of the Board (the “</w:t>
      </w:r>
      <w:r>
        <w:rPr>
          <w:rFonts w:ascii="Times New Roman" w:cs="Times New Roman" w:eastAsia="Times New Roman" w:hAnsi="Times New Roman"/>
          <w:sz w:val="16"/>
          <w:szCs w:val="16"/>
          <w:u w:val="single" w:color="auto"/>
          <w:color w:val="auto"/>
        </w:rPr>
        <w:t>Directors</w:t>
      </w:r>
      <w:r>
        <w:rPr>
          <w:rFonts w:ascii="Times New Roman" w:cs="Times New Roman" w:eastAsia="Times New Roman" w:hAnsi="Times New Roman"/>
          <w:sz w:val="16"/>
          <w:szCs w:val="16"/>
          <w:color w:val="auto"/>
        </w:rPr>
        <w:t>”) are referred to as “</w:t>
      </w:r>
      <w:r>
        <w:rPr>
          <w:rFonts w:ascii="Times New Roman" w:cs="Times New Roman" w:eastAsia="Times New Roman" w:hAnsi="Times New Roman"/>
          <w:sz w:val="16"/>
          <w:szCs w:val="16"/>
          <w:u w:val="single" w:color="auto"/>
          <w:color w:val="auto"/>
        </w:rPr>
        <w:t>Outside Directors</w:t>
      </w:r>
      <w:r>
        <w:rPr>
          <w:rFonts w:ascii="Times New Roman" w:cs="Times New Roman" w:eastAsia="Times New Roman" w:hAnsi="Times New Roman"/>
          <w:sz w:val="16"/>
          <w:szCs w:val="16"/>
          <w:color w:val="auto"/>
        </w:rPr>
        <w:t>” in the Policy.</w:t>
      </w:r>
    </w:p>
    <w:p>
      <w:pPr>
        <w:spacing w:after="0" w:line="157" w:lineRule="exact"/>
        <w:rPr>
          <w:sz w:val="20"/>
          <w:szCs w:val="20"/>
          <w:color w:val="auto"/>
        </w:rPr>
      </w:pPr>
    </w:p>
    <w:p>
      <w:pPr>
        <w:ind w:left="520" w:hanging="260"/>
        <w:spacing w:after="0"/>
        <w:tabs>
          <w:tab w:leader="none" w:pos="5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CASH COMPENSATION</w:t>
      </w:r>
    </w:p>
    <w:p>
      <w:pPr>
        <w:spacing w:after="0" w:line="189" w:lineRule="exact"/>
        <w:rPr>
          <w:sz w:val="20"/>
          <w:szCs w:val="20"/>
          <w:color w:val="auto"/>
        </w:rPr>
      </w:pPr>
    </w:p>
    <w:p>
      <w:pPr>
        <w:ind w:left="500" w:hanging="240"/>
        <w:spacing w:after="0"/>
        <w:tabs>
          <w:tab w:leader="none" w:pos="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Cash Retainer</w:t>
      </w:r>
      <w:r>
        <w:rPr>
          <w:rFonts w:ascii="Times New Roman" w:cs="Times New Roman" w:eastAsia="Times New Roman" w:hAnsi="Times New Roman"/>
          <w:sz w:val="16"/>
          <w:szCs w:val="16"/>
          <w:color w:val="auto"/>
        </w:rPr>
        <w:t>. Each Outside Director will be paid a cash retainer of $65,000 per year.</w:t>
      </w:r>
    </w:p>
    <w:p>
      <w:pPr>
        <w:spacing w:after="0" w:line="17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Annual Cash Retainers</w:t>
      </w:r>
      <w:r>
        <w:rPr>
          <w:rFonts w:ascii="Times New Roman" w:cs="Times New Roman" w:eastAsia="Times New Roman" w:hAnsi="Times New Roman"/>
          <w:sz w:val="16"/>
          <w:szCs w:val="16"/>
          <w:color w:val="auto"/>
        </w:rPr>
        <w:t>. Outside Directors who serve in the following roles will be paid the annual fees shown:</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206"/>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Board Chair:</w:t>
            </w:r>
          </w:p>
        </w:tc>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6"/>
        </w:trPr>
        <w:tc>
          <w:tcPr>
            <w:tcW w:w="614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Audit Committee Chair:</w:t>
            </w:r>
          </w:p>
        </w:tc>
        <w:tc>
          <w:tcPr>
            <w:tcW w:w="36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 Chair:</w:t>
            </w:r>
          </w:p>
        </w:tc>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16"/>
        </w:trPr>
        <w:tc>
          <w:tcPr>
            <w:tcW w:w="614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color w:val="auto"/>
              </w:rPr>
              <w:t>Investment Committee Chair:</w:t>
            </w:r>
          </w:p>
        </w:tc>
        <w:tc>
          <w:tcPr>
            <w:tcW w:w="36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05"/>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Nominating and Governance Committee Chair:</w:t>
            </w:r>
          </w:p>
        </w:tc>
        <w:tc>
          <w:tcPr>
            <w:tcW w:w="3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bl>
    <w:p>
      <w:pPr>
        <w:spacing w:after="0" w:line="200" w:lineRule="exact"/>
        <w:rPr>
          <w:sz w:val="20"/>
          <w:szCs w:val="20"/>
          <w:color w:val="auto"/>
        </w:rPr>
      </w:pPr>
    </w:p>
    <w:p>
      <w:pPr>
        <w:spacing w:after="0" w:line="245" w:lineRule="exact"/>
        <w:rPr>
          <w:sz w:val="20"/>
          <w:szCs w:val="20"/>
          <w:color w:val="auto"/>
        </w:rPr>
      </w:pPr>
    </w:p>
    <w:p>
      <w:pPr>
        <w:ind w:left="520" w:hanging="260"/>
        <w:spacing w:after="0" w:line="245" w:lineRule="auto"/>
        <w:tabs>
          <w:tab w:leader="none" w:pos="53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Meeting Fees</w:t>
      </w:r>
      <w:r>
        <w:rPr>
          <w:rFonts w:ascii="Times New Roman" w:cs="Times New Roman" w:eastAsia="Times New Roman" w:hAnsi="Times New Roman"/>
          <w:sz w:val="16"/>
          <w:szCs w:val="16"/>
          <w:color w:val="auto"/>
        </w:rPr>
        <w:t>. To the extent the Board or any of its committees meets more than eight times per year, each Outside Director who attends such additional meeting(s) will be entitled to a fee of $1,500 per meeting (with no more than one meeting fee being paid per day).</w:t>
      </w:r>
    </w:p>
    <w:p>
      <w:pPr>
        <w:spacing w:after="0" w:line="165" w:lineRule="exact"/>
        <w:rPr>
          <w:rFonts w:ascii="Times New Roman" w:cs="Times New Roman" w:eastAsia="Times New Roman" w:hAnsi="Times New Roman"/>
          <w:sz w:val="16"/>
          <w:szCs w:val="16"/>
          <w:color w:val="auto"/>
        </w:rPr>
      </w:pPr>
    </w:p>
    <w:p>
      <w:pPr>
        <w:jc w:val="both"/>
        <w:ind w:left="520" w:hanging="260"/>
        <w:spacing w:after="0"/>
        <w:tabs>
          <w:tab w:leader="none" w:pos="54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Each annual cash retainer under this Policy will be paid quarterly in arrears on a prorated basis to each Outside Director who has served in the relevant capacity for any portion of the Company’s immediately preceding fiscal quarter (“</w:t>
      </w:r>
      <w:r>
        <w:rPr>
          <w:rFonts w:ascii="Times New Roman" w:cs="Times New Roman" w:eastAsia="Times New Roman" w:hAnsi="Times New Roman"/>
          <w:sz w:val="16"/>
          <w:szCs w:val="16"/>
          <w:u w:val="single" w:color="auto"/>
          <w:color w:val="auto"/>
        </w:rPr>
        <w:t>Fiscal Quarter</w:t>
      </w:r>
      <w:r>
        <w:rPr>
          <w:rFonts w:ascii="Times New Roman" w:cs="Times New Roman" w:eastAsia="Times New Roman" w:hAnsi="Times New Roman"/>
          <w:sz w:val="16"/>
          <w:szCs w:val="16"/>
          <w:color w:val="auto"/>
        </w:rPr>
        <w:t>”), and such payment will be made no later than 30 days following the end of that Fiscal Quarter.</w:t>
      </w:r>
    </w:p>
    <w:p>
      <w:pPr>
        <w:spacing w:after="0" w:line="159" w:lineRule="exact"/>
        <w:rPr>
          <w:sz w:val="20"/>
          <w:szCs w:val="20"/>
          <w:color w:val="auto"/>
        </w:rPr>
      </w:pPr>
    </w:p>
    <w:p>
      <w:pPr>
        <w:jc w:val="both"/>
        <w:ind w:left="520"/>
        <w:spacing w:after="0" w:line="291" w:lineRule="auto"/>
        <w:rPr>
          <w:sz w:val="20"/>
          <w:szCs w:val="20"/>
          <w:color w:val="auto"/>
        </w:rPr>
      </w:pPr>
      <w:r>
        <w:rPr>
          <w:rFonts w:ascii="Times New Roman" w:cs="Times New Roman" w:eastAsia="Times New Roman" w:hAnsi="Times New Roman"/>
          <w:sz w:val="14"/>
          <w:szCs w:val="14"/>
          <w:color w:val="auto"/>
        </w:rPr>
        <w:t>An individual who has served as an Outside Director for only a portion of the relevant Fiscal Quarter will receive a prorated payment based on the number of days the individual served as an Outside Director during such Fiscal Quarter. Payment will be made only for periods after the Effective Date. Proration will apply for Fiscal Quarter that includes the Effective Date, with proration based on the number of days from the Effective Date to the end of the Fiscal Quarter that includes the Effective Date.</w:t>
      </w:r>
    </w:p>
    <w:p>
      <w:pPr>
        <w:spacing w:after="0" w:line="125"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6"/>
          <w:szCs w:val="16"/>
          <w:color w:val="auto"/>
        </w:rPr>
        <w:t>An Outside Director that is not independent in accordance with the applicable rules of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and the Securities and Exchange Commission (the “SEC”) will be paid fifty percent of the cash compensation such Outside Director would otherwise receive.</w:t>
      </w:r>
    </w:p>
    <w:p>
      <w:pPr>
        <w:spacing w:after="0" w:line="142" w:lineRule="exact"/>
        <w:rPr>
          <w:sz w:val="20"/>
          <w:szCs w:val="20"/>
          <w:color w:val="auto"/>
        </w:rPr>
      </w:pPr>
    </w:p>
    <w:p>
      <w:pPr>
        <w:ind w:left="540" w:hanging="280"/>
        <w:spacing w:after="0"/>
        <w:tabs>
          <w:tab w:leader="none" w:pos="54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COMPENSATION</w:t>
      </w:r>
    </w:p>
    <w:p>
      <w:pPr>
        <w:spacing w:after="0" w:line="189" w:lineRule="exact"/>
        <w:rPr>
          <w:rFonts w:ascii="Times New Roman" w:cs="Times New Roman" w:eastAsia="Times New Roman" w:hAnsi="Times New Roman"/>
          <w:sz w:val="16"/>
          <w:szCs w:val="16"/>
          <w:b w:val="1"/>
          <w:bCs w:val="1"/>
          <w:color w:val="auto"/>
        </w:rPr>
      </w:pPr>
    </w:p>
    <w:p>
      <w:pPr>
        <w:ind w:left="520" w:hanging="1"/>
        <w:spacing w:after="0" w:line="24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Outside Directors will automatically be granted Awards under the Company’s 2021 Equity Incentive Plan, as amended from time to time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in accordance with the following rules:</w:t>
      </w:r>
    </w:p>
    <w:p>
      <w:pPr>
        <w:sectPr>
          <w:pgSz w:w="11900" w:h="16838" w:orient="portrait"/>
          <w:cols w:equalWidth="0" w:num="1">
            <w:col w:w="11280"/>
          </w:cols>
          <w:pgMar w:left="300" w:top="120" w:right="319" w:bottom="1440" w:gutter="0" w:footer="0" w:header="0"/>
        </w:sectPr>
      </w:pPr>
    </w:p>
    <w:bookmarkStart w:id="244" w:name="page245"/>
    <w:bookmarkEnd w:id="244"/>
    <w:p>
      <w:pPr>
        <w:ind w:left="260" w:hanging="260"/>
        <w:spacing w:after="0" w:line="245" w:lineRule="auto"/>
        <w:tabs>
          <w:tab w:leader="none" w:pos="25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Discretion</w:t>
      </w:r>
      <w:r>
        <w:rPr>
          <w:rFonts w:ascii="Times New Roman" w:cs="Times New Roman" w:eastAsia="Times New Roman" w:hAnsi="Times New Roman"/>
          <w:sz w:val="16"/>
          <w:szCs w:val="16"/>
          <w:color w:val="auto"/>
        </w:rPr>
        <w:t>. No person will have any discretion to select which Outside Directors will be granted any Awards under this Policy or to determine the number of Shares to be covered by such Awards, except as otherwise provided in this Policy.</w:t>
      </w:r>
    </w:p>
    <w:p>
      <w:pPr>
        <w:spacing w:after="0" w:line="165" w:lineRule="exact"/>
        <w:rPr>
          <w:rFonts w:ascii="Times New Roman" w:cs="Times New Roman" w:eastAsia="Times New Roman" w:hAnsi="Times New Roman"/>
          <w:sz w:val="16"/>
          <w:szCs w:val="16"/>
          <w:color w:val="auto"/>
        </w:rPr>
      </w:pPr>
    </w:p>
    <w:p>
      <w:pPr>
        <w:jc w:val="both"/>
        <w:ind w:left="260" w:hanging="260"/>
        <w:spacing w:after="0" w:line="230" w:lineRule="auto"/>
        <w:tabs>
          <w:tab w:leader="none" w:pos="2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Awards</w:t>
      </w:r>
      <w:r>
        <w:rPr>
          <w:rFonts w:ascii="Times New Roman" w:cs="Times New Roman" w:eastAsia="Times New Roman" w:hAnsi="Times New Roman"/>
          <w:sz w:val="16"/>
          <w:szCs w:val="16"/>
          <w:color w:val="auto"/>
        </w:rPr>
        <w:t>. On the first Trading Day immediately following each Annual Meeting of the Company’s stockholders (an “</w:t>
      </w:r>
      <w:r>
        <w:rPr>
          <w:rFonts w:ascii="Times New Roman" w:cs="Times New Roman" w:eastAsia="Times New Roman" w:hAnsi="Times New Roman"/>
          <w:sz w:val="16"/>
          <w:szCs w:val="16"/>
          <w:u w:val="single" w:color="auto"/>
          <w:color w:val="auto"/>
        </w:rPr>
        <w:t>Annual Meeting</w:t>
      </w:r>
      <w:r>
        <w:rPr>
          <w:rFonts w:ascii="Times New Roman" w:cs="Times New Roman" w:eastAsia="Times New Roman" w:hAnsi="Times New Roman"/>
          <w:sz w:val="16"/>
          <w:szCs w:val="16"/>
          <w:color w:val="auto"/>
        </w:rPr>
        <w:t>”), each Outside Director (other than the Board Chair) automatically will be granted an award of Restricted Stock Units (an “</w:t>
      </w:r>
      <w:r>
        <w:rPr>
          <w:rFonts w:ascii="Times New Roman" w:cs="Times New Roman" w:eastAsia="Times New Roman" w:hAnsi="Times New Roman"/>
          <w:sz w:val="16"/>
          <w:szCs w:val="16"/>
          <w:u w:val="single" w:color="auto"/>
          <w:color w:val="auto"/>
        </w:rPr>
        <w:t>Annual Award</w:t>
      </w:r>
      <w:r>
        <w:rPr>
          <w:rFonts w:ascii="Times New Roman" w:cs="Times New Roman" w:eastAsia="Times New Roman" w:hAnsi="Times New Roman"/>
          <w:sz w:val="16"/>
          <w:szCs w:val="16"/>
          <w:color w:val="auto"/>
        </w:rPr>
        <w:t>”) covering a number of Shares having a Value of $125,000, subject to the following: the first Annual Award granted to an Outside Director will have a Value equal to the product of (A) $125,000 multiplied by (B) a fraction, (i) the numerator of which is the number of calendar months (not to exceed 12) during the period commencing with (and including) the calendar month in which the individual first became an Outside Director and ending with (and including) the calendar month in which the first Annual Meeting following such calendar month occurs, and (ii) the denominator of which is 12. The Board Chair will be granted an Annual Award covering a number of Shares having a Value of $175,000, subject to the formula described above. Any fraction resulting from the Value calculation for any Annual Award will be rounded down to the nearest whole Share. Each Annual Award will be scheduled to vest in full on the earlier of (i) the one-year anniversary of the grant date or (ii) the date of the next Annual Meeting following the grant date, in each case subject to the Outside Director continuing to be an Outside Director through the applicable vesting date.</w:t>
      </w:r>
    </w:p>
    <w:p>
      <w:pPr>
        <w:spacing w:after="0" w:line="17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Terms of Equity Compensation</w:t>
      </w:r>
      <w:r>
        <w:rPr>
          <w:rFonts w:ascii="Times New Roman" w:cs="Times New Roman" w:eastAsia="Times New Roman" w:hAnsi="Times New Roman"/>
          <w:sz w:val="16"/>
          <w:szCs w:val="16"/>
          <w:color w:val="auto"/>
        </w:rPr>
        <w:t>. The terms and conditions of each Award will be as follows:</w:t>
      </w:r>
    </w:p>
    <w:p>
      <w:pPr>
        <w:spacing w:after="0" w:line="176" w:lineRule="exact"/>
        <w:rPr>
          <w:rFonts w:ascii="Times New Roman" w:cs="Times New Roman" w:eastAsia="Times New Roman" w:hAnsi="Times New Roman"/>
          <w:sz w:val="16"/>
          <w:szCs w:val="16"/>
          <w:color w:val="auto"/>
        </w:rPr>
      </w:pPr>
    </w:p>
    <w:p>
      <w:pPr>
        <w:ind w:left="760" w:hanging="333"/>
        <w:spacing w:after="0" w:line="245" w:lineRule="auto"/>
        <w:tabs>
          <w:tab w:leader="none" w:pos="761"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Award will be granted under and subject to the terms and conditions of the Plan and the applicable form of Award Agreement approved by the Board or the Compensation Committee.</w:t>
      </w:r>
    </w:p>
    <w:p>
      <w:pPr>
        <w:spacing w:after="0" w:line="165" w:lineRule="exact"/>
        <w:rPr>
          <w:rFonts w:ascii="Times New Roman" w:cs="Times New Roman" w:eastAsia="Times New Roman" w:hAnsi="Times New Roman"/>
          <w:sz w:val="16"/>
          <w:szCs w:val="16"/>
          <w:color w:val="auto"/>
        </w:rPr>
      </w:pPr>
    </w:p>
    <w:p>
      <w:pPr>
        <w:jc w:val="both"/>
        <w:ind w:left="760" w:hanging="376"/>
        <w:spacing w:after="0" w:line="235" w:lineRule="auto"/>
        <w:tabs>
          <w:tab w:leader="none" w:pos="760"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granting of each Award will be subject to the Company having (1) one or more effective Registration Statements on Form S-8 under the Securities Act (an “S-8”), covering the Plan and a sufficient number of Shares registered thereunder and available for issuance pursuant to such Award and (2) a sufficient number of Shares available for the issuance of all Awards issued on such date. To the extent that there is no effective S-8 available for use or there is an insufficient number of Shares available for the issuance of all Awards to be granted on such date, the issuance of such Awards will be automatically delayed until such time as there is an effective S-8 available and a sufficient number of Shares available.</w:t>
      </w:r>
    </w:p>
    <w:p>
      <w:pPr>
        <w:spacing w:after="0" w:line="160" w:lineRule="exact"/>
        <w:rPr>
          <w:rFonts w:ascii="Times New Roman" w:cs="Times New Roman" w:eastAsia="Times New Roman" w:hAnsi="Times New Roman"/>
          <w:sz w:val="16"/>
          <w:szCs w:val="16"/>
          <w:color w:val="auto"/>
        </w:rPr>
      </w:pPr>
    </w:p>
    <w:p>
      <w:pPr>
        <w:jc w:val="both"/>
        <w:ind w:left="760" w:hanging="419"/>
        <w:spacing w:after="0" w:line="235" w:lineRule="auto"/>
        <w:tabs>
          <w:tab w:leader="none" w:pos="761" w:val="left"/>
        </w:tabs>
        <w:numPr>
          <w:ilvl w:val="2"/>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Policy, the “</w:t>
      </w:r>
      <w:r>
        <w:rPr>
          <w:rFonts w:ascii="Times New Roman" w:cs="Times New Roman" w:eastAsia="Times New Roman" w:hAnsi="Times New Roman"/>
          <w:sz w:val="16"/>
          <w:szCs w:val="16"/>
          <w:u w:val="single" w:color="auto"/>
          <w:color w:val="auto"/>
        </w:rPr>
        <w:t>Value</w:t>
      </w:r>
      <w:r>
        <w:rPr>
          <w:rFonts w:ascii="Times New Roman" w:cs="Times New Roman" w:eastAsia="Times New Roman" w:hAnsi="Times New Roman"/>
          <w:sz w:val="16"/>
          <w:szCs w:val="16"/>
          <w:color w:val="auto"/>
        </w:rPr>
        <w:t>” of an Award means the grant date fair value as determined in accordance with U.S. generally accepted accounting principles, or such other methodology that the Board or any committee of the Board designated by the Board with appropriate authority (the “</w:t>
      </w:r>
      <w:r>
        <w:rPr>
          <w:rFonts w:ascii="Times New Roman" w:cs="Times New Roman" w:eastAsia="Times New Roman" w:hAnsi="Times New Roman"/>
          <w:sz w:val="16"/>
          <w:szCs w:val="16"/>
          <w:u w:val="single" w:color="auto"/>
          <w:color w:val="auto"/>
        </w:rPr>
        <w:t>Designated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as applicable, may determine prior to the grant of the applicable Award becoming effective. “</w:t>
      </w:r>
      <w:r>
        <w:rPr>
          <w:rFonts w:ascii="Times New Roman" w:cs="Times New Roman" w:eastAsia="Times New Roman" w:hAnsi="Times New Roman"/>
          <w:sz w:val="16"/>
          <w:szCs w:val="16"/>
          <w:u w:val="single" w:color="auto"/>
          <w:color w:val="auto"/>
        </w:rPr>
        <w:t>Value</w:t>
      </w:r>
      <w:r>
        <w:rPr>
          <w:rFonts w:ascii="Times New Roman" w:cs="Times New Roman" w:eastAsia="Times New Roman" w:hAnsi="Times New Roman"/>
          <w:sz w:val="16"/>
          <w:szCs w:val="16"/>
          <w:color w:val="auto"/>
        </w:rPr>
        <w:t>” for purposes of any cash payment shall equal the amount of the payment.</w:t>
      </w:r>
    </w:p>
    <w:p>
      <w:pPr>
        <w:spacing w:after="0" w:line="170" w:lineRule="exact"/>
        <w:rPr>
          <w:rFonts w:ascii="Times New Roman" w:cs="Times New Roman" w:eastAsia="Times New Roman" w:hAnsi="Times New Roman"/>
          <w:sz w:val="16"/>
          <w:szCs w:val="16"/>
          <w:color w:val="auto"/>
        </w:rPr>
      </w:pPr>
    </w:p>
    <w:p>
      <w:pPr>
        <w:ind w:left="760" w:hanging="411"/>
        <w:spacing w:after="0"/>
        <w:tabs>
          <w:tab w:leader="none" w:pos="76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must comply with any applicable stock ownership guidelines.</w:t>
      </w:r>
    </w:p>
    <w:p>
      <w:pPr>
        <w:spacing w:after="0" w:line="176" w:lineRule="exact"/>
        <w:rPr>
          <w:rFonts w:ascii="Times New Roman" w:cs="Times New Roman" w:eastAsia="Times New Roman" w:hAnsi="Times New Roman"/>
          <w:sz w:val="16"/>
          <w:szCs w:val="16"/>
          <w:color w:val="auto"/>
        </w:rPr>
      </w:pPr>
    </w:p>
    <w:p>
      <w:pPr>
        <w:ind w:left="760" w:hanging="368"/>
        <w:spacing w:after="0" w:line="259" w:lineRule="auto"/>
        <w:tabs>
          <w:tab w:leader="none" w:pos="75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Outside Director that is not independent in accordance with the applicable rules of the Nasdaq and the SEC will be paid fifty percent of the equity compensation such Outside Director would otherwise receive.</w:t>
      </w:r>
    </w:p>
    <w:p>
      <w:pPr>
        <w:sectPr>
          <w:pgSz w:w="11900" w:h="16838" w:orient="portrait"/>
          <w:cols w:equalWidth="0" w:num="1">
            <w:col w:w="11020"/>
          </w:cols>
          <w:pgMar w:left="560" w:top="1139" w:right="319" w:bottom="1440" w:gutter="0" w:footer="0" w:header="0"/>
        </w:sectPr>
      </w:pPr>
    </w:p>
    <w:bookmarkStart w:id="245" w:name="page246"/>
    <w:bookmarkEnd w:id="245"/>
    <w:p>
      <w:pPr>
        <w:jc w:val="both"/>
        <w:ind w:left="260" w:hanging="260"/>
        <w:spacing w:after="0" w:line="235" w:lineRule="auto"/>
        <w:tabs>
          <w:tab w:leader="none" w:pos="2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to the Policy and Discretionary Awards</w:t>
      </w:r>
      <w:r>
        <w:rPr>
          <w:rFonts w:ascii="Times New Roman" w:cs="Times New Roman" w:eastAsia="Times New Roman" w:hAnsi="Times New Roman"/>
          <w:sz w:val="16"/>
          <w:szCs w:val="16"/>
          <w:color w:val="auto"/>
        </w:rPr>
        <w:t>. The Board or the Designated Committee, as applicable and in its discretion, may, on a prospective basis, change the terms of Initial Awards and Annual Awards to be granted in the future under this Policy, including, without limitation, the number of Shares subject thereto and type of Award. Outside Directors will be eligible to be selected to receive each type of Award (other than Incentive Stock Options) available under the Plan. In addition to the Awards to Outside Directors granted automatically under the Policy, Outside Directors also will be eligible to be selected to receive discretionary Awards (other than Incentive Stock Options) as provided in the Plan.</w:t>
      </w:r>
    </w:p>
    <w:p>
      <w:pPr>
        <w:spacing w:after="0" w:line="158" w:lineRule="exact"/>
        <w:rPr>
          <w:sz w:val="20"/>
          <w:szCs w:val="20"/>
          <w:color w:val="auto"/>
        </w:rPr>
      </w:pPr>
    </w:p>
    <w:p>
      <w:pPr>
        <w:ind w:left="280" w:hanging="280"/>
        <w:spacing w:after="0"/>
        <w:tabs>
          <w:tab w:leader="none" w:pos="28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COMPENSATION AND BENEFITS</w:t>
      </w:r>
    </w:p>
    <w:p>
      <w:pPr>
        <w:spacing w:after="0" w:line="189" w:lineRule="exact"/>
        <w:rPr>
          <w:rFonts w:ascii="Times New Roman" w:cs="Times New Roman" w:eastAsia="Times New Roman" w:hAnsi="Times New Roman"/>
          <w:sz w:val="16"/>
          <w:szCs w:val="16"/>
          <w:b w:val="1"/>
          <w:bCs w:val="1"/>
          <w:color w:val="auto"/>
        </w:rPr>
      </w:pPr>
    </w:p>
    <w:p>
      <w:pPr>
        <w:jc w:val="both"/>
        <w:ind w:left="260" w:hanging="1"/>
        <w:spacing w:after="0" w:line="23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Outside Directors shall be eligible to receive such other compensation and benefits as may be determined by the Board or its Designated Committee, as applicable, from time to time. Such compensation or benefits may, in the discretion of the Board or its Designated Committee, be in lieu of, or in addition to, the compensation and benefits provided by the Policy.</w:t>
      </w:r>
    </w:p>
    <w:p>
      <w:pPr>
        <w:spacing w:after="0" w:line="168" w:lineRule="exact"/>
        <w:rPr>
          <w:rFonts w:ascii="Times New Roman" w:cs="Times New Roman" w:eastAsia="Times New Roman" w:hAnsi="Times New Roman"/>
          <w:sz w:val="16"/>
          <w:szCs w:val="16"/>
          <w:b w:val="1"/>
          <w:bCs w:val="1"/>
          <w:color w:val="auto"/>
        </w:rPr>
      </w:pPr>
    </w:p>
    <w:p>
      <w:pPr>
        <w:ind w:left="280" w:hanging="280"/>
        <w:spacing w:after="0"/>
        <w:tabs>
          <w:tab w:leader="none" w:pos="28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CHANGE IN CONTROL</w:t>
      </w:r>
    </w:p>
    <w:p>
      <w:pPr>
        <w:spacing w:after="0" w:line="178" w:lineRule="exact"/>
        <w:rPr>
          <w:rFonts w:ascii="Times New Roman" w:cs="Times New Roman" w:eastAsia="Times New Roman" w:hAnsi="Times New Roman"/>
          <w:sz w:val="16"/>
          <w:szCs w:val="16"/>
          <w:b w:val="1"/>
          <w:bCs w:val="1"/>
          <w:color w:val="auto"/>
        </w:rPr>
      </w:pPr>
    </w:p>
    <w:p>
      <w:pPr>
        <w:ind w:left="260" w:hanging="1"/>
        <w:spacing w:after="0" w:line="25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event of a Change in Control, each Outside Director who is serving as such immediately prior to the Change in Control automatically will fully vest in his or her then-outstanding but unvested Awards.</w:t>
      </w:r>
    </w:p>
    <w:p>
      <w:pPr>
        <w:spacing w:after="0" w:line="141" w:lineRule="exact"/>
        <w:rPr>
          <w:rFonts w:ascii="Times New Roman" w:cs="Times New Roman" w:eastAsia="Times New Roman" w:hAnsi="Times New Roman"/>
          <w:sz w:val="16"/>
          <w:szCs w:val="16"/>
          <w:b w:val="1"/>
          <w:bCs w:val="1"/>
          <w:color w:val="auto"/>
        </w:rPr>
      </w:pPr>
    </w:p>
    <w:p>
      <w:pPr>
        <w:ind w:left="280" w:hanging="280"/>
        <w:spacing w:after="0"/>
        <w:tabs>
          <w:tab w:leader="none" w:pos="28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ANNUAL COMPENSATION LIMIT</w:t>
      </w:r>
    </w:p>
    <w:p>
      <w:pPr>
        <w:spacing w:after="0" w:line="178" w:lineRule="exact"/>
        <w:rPr>
          <w:rFonts w:ascii="Times New Roman" w:cs="Times New Roman" w:eastAsia="Times New Roman" w:hAnsi="Times New Roman"/>
          <w:sz w:val="16"/>
          <w:szCs w:val="16"/>
          <w:b w:val="1"/>
          <w:bCs w:val="1"/>
          <w:color w:val="auto"/>
        </w:rPr>
      </w:pPr>
    </w:p>
    <w:p>
      <w:pPr>
        <w:jc w:val="both"/>
        <w:ind w:left="260" w:hanging="1"/>
        <w:spacing w:after="0" w:line="23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total compensation provided to an Outside Director during any Fiscal Year may not exceed $750,000 (determined based on the total Value of Awards, cash retainers and fees provided for such Fiscal Year (excluding reimbursements)). In the Fiscal Year containing an Outside Director’s Initial Start Date, such limit will be increased to $1,000,000. Any Awards or other compensation provided to an individual (a) for services as an Employee, or for services as a Consultant other than as an Outside Director, or (b) prior to the Effective Date, will be excluded for purposes of applying the above limit.</w:t>
      </w:r>
    </w:p>
    <w:p>
      <w:pPr>
        <w:spacing w:after="0" w:line="156" w:lineRule="exact"/>
        <w:rPr>
          <w:rFonts w:ascii="Times New Roman" w:cs="Times New Roman" w:eastAsia="Times New Roman" w:hAnsi="Times New Roman"/>
          <w:sz w:val="16"/>
          <w:szCs w:val="16"/>
          <w:b w:val="1"/>
          <w:bCs w:val="1"/>
          <w:color w:val="auto"/>
        </w:rPr>
      </w:pPr>
    </w:p>
    <w:p>
      <w:pPr>
        <w:ind w:left="280" w:hanging="280"/>
        <w:spacing w:after="0"/>
        <w:tabs>
          <w:tab w:leader="none" w:pos="28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TRAVEL EXPENSES</w:t>
      </w:r>
    </w:p>
    <w:p>
      <w:pPr>
        <w:spacing w:after="0" w:line="189" w:lineRule="exact"/>
        <w:rPr>
          <w:rFonts w:ascii="Times New Roman" w:cs="Times New Roman" w:eastAsia="Times New Roman" w:hAnsi="Times New Roman"/>
          <w:sz w:val="16"/>
          <w:szCs w:val="16"/>
          <w:b w:val="1"/>
          <w:bCs w:val="1"/>
          <w:color w:val="auto"/>
        </w:rPr>
      </w:pPr>
    </w:p>
    <w:p>
      <w:pPr>
        <w:ind w:left="260" w:hanging="1"/>
        <w:spacing w:after="0" w:line="24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will reimburse each Outside Director’s reasonable, customary, and properly documented, out-of-pocket travel expenses to attend meetings of the Board and any of its committees, as applicable. Reimbursements also will be subject to the Company’s additional travel policies as they may exist from time to time.</w:t>
      </w:r>
    </w:p>
    <w:p>
      <w:pPr>
        <w:spacing w:after="0" w:line="152" w:lineRule="exact"/>
        <w:rPr>
          <w:rFonts w:ascii="Times New Roman" w:cs="Times New Roman" w:eastAsia="Times New Roman" w:hAnsi="Times New Roman"/>
          <w:sz w:val="16"/>
          <w:szCs w:val="16"/>
          <w:b w:val="1"/>
          <w:bCs w:val="1"/>
          <w:color w:val="auto"/>
        </w:rPr>
      </w:pPr>
    </w:p>
    <w:p>
      <w:pPr>
        <w:ind w:left="280" w:hanging="280"/>
        <w:spacing w:after="0"/>
        <w:tabs>
          <w:tab w:leader="none" w:pos="280"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CODE SECTION 409A</w:t>
      </w:r>
    </w:p>
    <w:p>
      <w:pPr>
        <w:spacing w:after="0" w:line="189" w:lineRule="exact"/>
        <w:rPr>
          <w:rFonts w:ascii="Times New Roman" w:cs="Times New Roman" w:eastAsia="Times New Roman" w:hAnsi="Times New Roman"/>
          <w:sz w:val="16"/>
          <w:szCs w:val="16"/>
          <w:b w:val="1"/>
          <w:bCs w:val="1"/>
          <w:color w:val="auto"/>
        </w:rPr>
      </w:pPr>
    </w:p>
    <w:p>
      <w:pPr>
        <w:jc w:val="both"/>
        <w:ind w:left="260" w:hanging="1"/>
        <w:spacing w:after="0" w:line="23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 from or otherwise comply with the requirements of Code Section 409A so that none of the compensation to be provided hereunder will be subject to the additional tax imposed under Code Section 409A, and any ambiguities or ambiguous terms herein will be interpreted to be so exempt or comply. In no event will the Company Group have any responsibility, liability or obligation to reimburse,</w:t>
      </w:r>
    </w:p>
    <w:p>
      <w:pPr>
        <w:sectPr>
          <w:pgSz w:w="11900" w:h="16838" w:orient="portrait"/>
          <w:cols w:equalWidth="0" w:num="1">
            <w:col w:w="11020"/>
          </w:cols>
          <w:pgMar w:left="560" w:top="1139" w:right="319" w:bottom="1440" w:gutter="0" w:footer="0" w:header="0"/>
        </w:sectPr>
      </w:pPr>
    </w:p>
    <w:bookmarkStart w:id="246" w:name="page247"/>
    <w:bookmarkEnd w:id="246"/>
    <w:p>
      <w:pPr>
        <w:ind w:left="260"/>
        <w:spacing w:after="0"/>
        <w:rPr>
          <w:sz w:val="20"/>
          <w:szCs w:val="20"/>
          <w:color w:val="auto"/>
        </w:rPr>
      </w:pPr>
      <w:r>
        <w:rPr>
          <w:rFonts w:ascii="Times New Roman" w:cs="Times New Roman" w:eastAsia="Times New Roman" w:hAnsi="Times New Roman"/>
          <w:sz w:val="16"/>
          <w:szCs w:val="16"/>
          <w:color w:val="auto"/>
        </w:rPr>
        <w:t>indemnify, or hold harmless an Outside Director or any other person for any taxes imposed, or other costs incurred, as a result of Code Section 409A.</w:t>
      </w:r>
    </w:p>
    <w:p>
      <w:pPr>
        <w:spacing w:after="0" w:line="175" w:lineRule="exact"/>
        <w:rPr>
          <w:sz w:val="20"/>
          <w:szCs w:val="20"/>
          <w:color w:val="auto"/>
        </w:rPr>
      </w:pPr>
    </w:p>
    <w:p>
      <w:pPr>
        <w:ind w:left="280" w:hanging="280"/>
        <w:spacing w:after="0"/>
        <w:tabs>
          <w:tab w:leader="none" w:pos="28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DEFINED TERMS</w:t>
      </w:r>
    </w:p>
    <w:p>
      <w:pPr>
        <w:spacing w:after="0" w:line="189" w:lineRule="exact"/>
        <w:rPr>
          <w:rFonts w:ascii="Times New Roman" w:cs="Times New Roman" w:eastAsia="Times New Roman" w:hAnsi="Times New Roman"/>
          <w:sz w:val="16"/>
          <w:szCs w:val="16"/>
          <w:b w:val="1"/>
          <w:bCs w:val="1"/>
          <w:color w:val="auto"/>
        </w:rPr>
      </w:pPr>
    </w:p>
    <w:p>
      <w:pPr>
        <w:ind w:left="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otherwise defined herein, capitalized terms used in this Policy will have the meaning given such term in the Plan.</w:t>
      </w:r>
    </w:p>
    <w:p>
      <w:pPr>
        <w:spacing w:after="0" w:line="174" w:lineRule="exact"/>
        <w:rPr>
          <w:rFonts w:ascii="Times New Roman" w:cs="Times New Roman" w:eastAsia="Times New Roman" w:hAnsi="Times New Roman"/>
          <w:sz w:val="16"/>
          <w:szCs w:val="16"/>
          <w:b w:val="1"/>
          <w:bCs w:val="1"/>
          <w:color w:val="auto"/>
        </w:rPr>
      </w:pPr>
    </w:p>
    <w:p>
      <w:pPr>
        <w:ind w:left="280" w:hanging="280"/>
        <w:spacing w:after="0"/>
        <w:tabs>
          <w:tab w:leader="none" w:pos="28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TAXES</w:t>
      </w:r>
    </w:p>
    <w:p>
      <w:pPr>
        <w:spacing w:after="0" w:line="189" w:lineRule="exact"/>
        <w:rPr>
          <w:rFonts w:ascii="Times New Roman" w:cs="Times New Roman" w:eastAsia="Times New Roman" w:hAnsi="Times New Roman"/>
          <w:sz w:val="16"/>
          <w:szCs w:val="16"/>
          <w:b w:val="1"/>
          <w:bCs w:val="1"/>
          <w:color w:val="auto"/>
        </w:rPr>
      </w:pPr>
    </w:p>
    <w:p>
      <w:pPr>
        <w:ind w:left="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Each Outside Director will be solely responsible for any tax obligations incurred by such Outside Director as a result of Director Compensation received by such individual.</w:t>
      </w:r>
    </w:p>
    <w:p>
      <w:pPr>
        <w:spacing w:after="0" w:line="197" w:lineRule="exact"/>
        <w:rPr>
          <w:rFonts w:ascii="Times New Roman" w:cs="Times New Roman" w:eastAsia="Times New Roman" w:hAnsi="Times New Roman"/>
          <w:sz w:val="16"/>
          <w:szCs w:val="16"/>
          <w:b w:val="1"/>
          <w:bCs w:val="1"/>
          <w:color w:val="auto"/>
        </w:rPr>
      </w:pPr>
    </w:p>
    <w:p>
      <w:pPr>
        <w:ind w:left="340" w:hanging="340"/>
        <w:spacing w:after="0"/>
        <w:tabs>
          <w:tab w:leader="none" w:pos="34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OUTSIDE DIRECTORS ONLY</w:t>
      </w:r>
    </w:p>
    <w:p>
      <w:pPr>
        <w:spacing w:after="0" w:line="189"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6"/>
          <w:szCs w:val="16"/>
          <w:color w:val="auto"/>
        </w:rPr>
        <w:t>Any Director who also is an employee of the Company will not be eligible to receive compensation under this Policy. Any such employee-Director will not receive additional compensation (apart from normal employee compensation) for service on the Board.</w:t>
      </w:r>
    </w:p>
    <w:p>
      <w:pPr>
        <w:spacing w:after="0" w:line="15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 * *</w:t>
      </w:r>
    </w:p>
    <w:p>
      <w:pPr>
        <w:sectPr>
          <w:pgSz w:w="11900" w:h="16838" w:orient="portrait"/>
          <w:cols w:equalWidth="0" w:num="1">
            <w:col w:w="11020"/>
          </w:cols>
          <w:pgMar w:left="560" w:top="1139"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SONDER HOLDINGS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(Amended and Restated on June 2, 2025)</w:t>
      </w:r>
    </w:p>
    <w:p>
      <w:pPr>
        <w:spacing w:after="0" w:line="17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4"/>
          <w:szCs w:val="14"/>
          <w:b w:val="1"/>
          <w:bCs w:val="1"/>
          <w:color w:val="auto"/>
        </w:rPr>
        <w:t>POLICY OVERVIEW</w:t>
      </w:r>
    </w:p>
    <w:p>
      <w:pPr>
        <w:spacing w:after="0" w:line="187" w:lineRule="exact"/>
        <w:rPr>
          <w:sz w:val="20"/>
          <w:szCs w:val="20"/>
          <w:color w:val="auto"/>
        </w:rPr>
      </w:pPr>
    </w:p>
    <w:p>
      <w:pPr>
        <w:jc w:val="both"/>
        <w:ind w:firstLine="509"/>
        <w:spacing w:after="0" w:line="231" w:lineRule="auto"/>
        <w:rPr>
          <w:sz w:val="20"/>
          <w:szCs w:val="20"/>
          <w:color w:val="auto"/>
        </w:rPr>
      </w:pPr>
      <w:r>
        <w:rPr>
          <w:rFonts w:ascii="Times New Roman" w:cs="Times New Roman" w:eastAsia="Times New Roman" w:hAnsi="Times New Roman"/>
          <w:sz w:val="16"/>
          <w:szCs w:val="16"/>
          <w:color w:val="auto"/>
        </w:rPr>
        <w:t>Sonder Holdings Inc. (the “</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has adopted this Insider Trading Policy (the “</w:t>
      </w:r>
      <w:r>
        <w:rPr>
          <w:rFonts w:ascii="Times New Roman" w:cs="Times New Roman" w:eastAsia="Times New Roman" w:hAnsi="Times New Roman"/>
          <w:sz w:val="16"/>
          <w:szCs w:val="16"/>
          <w:b w:val="1"/>
          <w:bCs w:val="1"/>
          <w:u w:val="single" w:color="auto"/>
          <w:color w:val="auto"/>
        </w:rPr>
        <w:t>Policy</w:t>
      </w:r>
      <w:r>
        <w:rPr>
          <w:rFonts w:ascii="Times New Roman" w:cs="Times New Roman" w:eastAsia="Times New Roman" w:hAnsi="Times New Roman"/>
          <w:sz w:val="16"/>
          <w:szCs w:val="16"/>
          <w:color w:val="auto"/>
        </w:rPr>
        <w:t>”) to promote compliance with applicable securities laws and regulations that govern trading in securities and prohibit persons who are aware of Material Nonpublic (as defined below) information about a company from trading in the securities of that company or providing Material Nonpublic information to others who may trade in the securities of that company based on that information. This Policy outlines the responsibilities of directors, officers, and employees regarding transactions in Company Securities (as defined below) and the securities of other companies.</w:t>
      </w:r>
    </w:p>
    <w:p>
      <w:pPr>
        <w:spacing w:after="0" w:line="1"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6"/>
          <w:szCs w:val="16"/>
          <w:color w:val="auto"/>
        </w:rPr>
        <w:t>The prohibitions against insider trading apply to trades, tips, and recommendations by virtually any person, including all persons associated with the Company, if the information is Material and Nonpublic. The prohibitions apply to any director, officer, or employee who trades in Company Securities or the securities of another company on the basis of Material Nonpublic information.</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2. PERSONS COVERED BY THIS POLICY</w:t>
      </w:r>
    </w:p>
    <w:p>
      <w:pPr>
        <w:spacing w:after="0" w:line="179"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6"/>
          <w:szCs w:val="16"/>
          <w:color w:val="auto"/>
        </w:rPr>
        <w:t>This Policy applies to all Insiders (as defined below) and consultants, contractors, or advisors of the Company, both inside and outside of the United States. This Policy continues to apply even if an Insider leaves the Company or is otherwise no longer affiliated with or providing services to the Company, for as long as the Insider remains in possession of Material Nonpublic information. In addition, trading blackouts under this Policy and related trading restrictions continue until at least the end of the relevant blackout period. There are no exceptions from applicable securities laws or this Policy based on the size of the transaction or the type of consideration received.</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3. DEFINITIONS</w:t>
      </w:r>
    </w:p>
    <w:p>
      <w:pPr>
        <w:spacing w:after="0" w:line="179" w:lineRule="exact"/>
        <w:rPr>
          <w:sz w:val="20"/>
          <w:szCs w:val="20"/>
          <w:color w:val="auto"/>
        </w:rPr>
      </w:pPr>
    </w:p>
    <w:p>
      <w:pPr>
        <w:jc w:val="both"/>
        <w:ind w:left="520" w:hanging="260"/>
        <w:spacing w:after="0"/>
        <w:tabs>
          <w:tab w:leader="none" w:pos="51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Securities – means all securities issued by the Company, including common stock, options to purchase common stock, preferred stock, performance awards, restricted stock units, warrants, and any other securities the Company may issue, such as bonds, debt, and convertible notes. This also includes derivative securities that are not issued by the Company, such as exchange-traded put or call options or swaps relating to Company Securities.</w:t>
      </w:r>
    </w:p>
    <w:p>
      <w:pPr>
        <w:spacing w:after="0" w:line="158"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Officer – means the Company’s General Counsel or his/her designee;</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Entities – means any entities that a person influences or controls, including any corporations, partnerships, or trusts.</w:t>
      </w:r>
    </w:p>
    <w:p>
      <w:pPr>
        <w:spacing w:after="0" w:line="174" w:lineRule="exact"/>
        <w:rPr>
          <w:rFonts w:ascii="Times New Roman" w:cs="Times New Roman" w:eastAsia="Times New Roman" w:hAnsi="Times New Roman"/>
          <w:sz w:val="16"/>
          <w:szCs w:val="16"/>
          <w:color w:val="auto"/>
        </w:rPr>
      </w:pPr>
    </w:p>
    <w:p>
      <w:pPr>
        <w:jc w:val="both"/>
        <w:ind w:left="520" w:hanging="260"/>
        <w:spacing w:after="0" w:line="244" w:lineRule="auto"/>
        <w:tabs>
          <w:tab w:leader="none" w:pos="5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Family Members – means family members who reside with Insiders (including a spouse, a child, a child away at college, stepchildren, grandchildren, parents, stepparents, grandparents, siblings, and in-laws). This includes anyone else living in the household and family members not residing in the household but whose transactions in Company Securities or securities of other companies are directed or influenced the Insider (e.g., parents or children who consult with the Insider before they trade in Company Securities or securities of other companies).</w:t>
      </w:r>
    </w:p>
    <w:p>
      <w:pPr>
        <w:spacing w:after="0" w:line="159" w:lineRule="exact"/>
        <w:rPr>
          <w:rFonts w:ascii="Times New Roman" w:cs="Times New Roman" w:eastAsia="Times New Roman" w:hAnsi="Times New Roman"/>
          <w:sz w:val="16"/>
          <w:szCs w:val="16"/>
          <w:color w:val="auto"/>
        </w:rPr>
      </w:pPr>
    </w:p>
    <w:p>
      <w:pPr>
        <w:jc w:val="both"/>
        <w:ind w:left="520" w:hanging="260"/>
        <w:spacing w:after="0" w:line="249" w:lineRule="auto"/>
        <w:tabs>
          <w:tab w:leader="none" w:pos="511"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Insiders – means all directors, officers, and employees of the Company and its subsidiaries and controlled affiliates, as well as their respective Family Members and Controlled Entities. Additionally, any other individuals who have access to Material Nonpublic information about the Company may be designated as Insiders by the Compliance Officer.</w:t>
      </w:r>
    </w:p>
    <w:p>
      <w:pPr>
        <w:sectPr>
          <w:pgSz w:w="11900" w:h="16838" w:orient="portrait"/>
          <w:cols w:equalWidth="0" w:num="1">
            <w:col w:w="11280"/>
          </w:cols>
          <w:pgMar w:left="300" w:top="122" w:right="319" w:bottom="1440" w:gutter="0" w:footer="0" w:header="0"/>
        </w:sectPr>
      </w:pPr>
    </w:p>
    <w:bookmarkStart w:id="248" w:name="page249"/>
    <w:bookmarkEnd w:id="248"/>
    <w:p>
      <w:pPr>
        <w:jc w:val="both"/>
        <w:ind w:left="260" w:hanging="260"/>
        <w:spacing w:after="0" w:line="237" w:lineRule="auto"/>
        <w:tabs>
          <w:tab w:leader="none" w:pos="25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Material – when used in the context of Material Nonpublic information, means information that a reasonable investor would consider important when deciding whether to buy, hold, or sell securities or would view as significantly altering the total mix of information available in the marketplace about a company. In general, any information that could reasonably be expected to affect the market price of a security or has market significance should be considered Material. Either positive or negative information may be Material. Material information is not limited to historical facts but may also include projections and forecasts. Information concerning an event that would have an effect on stock price may be Material even if the possibility that the event will occur is relatively small. It is not possible to define all categories of Material information. However, some examples of information that could be regarded as Material include, but are not limited to:</w:t>
      </w:r>
    </w:p>
    <w:p>
      <w:pPr>
        <w:spacing w:after="0" w:line="165" w:lineRule="exact"/>
        <w:rPr>
          <w:rFonts w:ascii="Times New Roman" w:cs="Times New Roman" w:eastAsia="Times New Roman" w:hAnsi="Times New Roman"/>
          <w:sz w:val="16"/>
          <w:szCs w:val="16"/>
          <w:color w:val="auto"/>
        </w:rPr>
      </w:pPr>
    </w:p>
    <w:p>
      <w:pPr>
        <w:ind w:left="760" w:hanging="251"/>
        <w:spacing w:after="0" w:line="263" w:lineRule="auto"/>
        <w:tabs>
          <w:tab w:leader="none" w:pos="758"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financial results, key metrics, financial condition, earnings pre-announcements, guidance, projections, or forecasts, particularly if inconsistent with the Company’s guidance or the expectations of the investment community;</w:t>
      </w:r>
    </w:p>
    <w:p>
      <w:pPr>
        <w:spacing w:after="0" w:line="144"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restatements of financial results, material impairments, write-offs, or restructurings;</w:t>
      </w:r>
    </w:p>
    <w:p>
      <w:pPr>
        <w:spacing w:after="0" w:line="18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changes in independent auditors, or notification that the Company may no longer rely on an audit report;</w:t>
      </w:r>
    </w:p>
    <w:p>
      <w:pPr>
        <w:spacing w:after="0" w:line="186" w:lineRule="exact"/>
        <w:rPr>
          <w:rFonts w:ascii="Times New Roman" w:cs="Times New Roman" w:eastAsia="Times New Roman" w:hAnsi="Times New Roman"/>
          <w:sz w:val="16"/>
          <w:szCs w:val="16"/>
          <w:color w:val="auto"/>
        </w:rPr>
      </w:pPr>
    </w:p>
    <w:p>
      <w:pPr>
        <w:ind w:left="740" w:hanging="231"/>
        <w:spacing w:after="0"/>
        <w:tabs>
          <w:tab w:leader="none" w:pos="7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major changes in accounting methods or policies;</w:t>
      </w:r>
    </w:p>
    <w:p>
      <w:pPr>
        <w:spacing w:after="0" w:line="18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business plans or budgets;</w:t>
      </w:r>
    </w:p>
    <w:p>
      <w:pPr>
        <w:spacing w:after="0" w:line="18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creation of significant financial obligations, or any significant default under or acceleration of any financial obligation;</w:t>
      </w:r>
    </w:p>
    <w:p>
      <w:pPr>
        <w:spacing w:after="0" w:line="18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impending bankruptcy or financial liquidity problems;</w:t>
      </w:r>
    </w:p>
    <w:p>
      <w:pPr>
        <w:spacing w:after="0" w:line="186" w:lineRule="exact"/>
        <w:rPr>
          <w:sz w:val="20"/>
          <w:szCs w:val="20"/>
          <w:color w:val="auto"/>
        </w:rPr>
      </w:pPr>
    </w:p>
    <w:p>
      <w:pPr>
        <w:ind w:left="760" w:hanging="254"/>
        <w:spacing w:after="0" w:line="295" w:lineRule="auto"/>
        <w:rPr>
          <w:sz w:val="20"/>
          <w:szCs w:val="20"/>
          <w:color w:val="auto"/>
        </w:rPr>
      </w:pPr>
      <w:r>
        <w:rPr>
          <w:rFonts w:ascii="Times New Roman" w:cs="Times New Roman" w:eastAsia="Times New Roman" w:hAnsi="Times New Roman"/>
          <w:sz w:val="16"/>
          <w:szCs w:val="16"/>
          <w:color w:val="auto"/>
        </w:rPr>
        <w:t>viii.significant developments involving business relationships, including execution, modification or termination of significant agreements or orders with landlords, developers, corporate customers, suppliers, distributors, online travel agencies, manufacturers, or other business partners;</w:t>
      </w:r>
    </w:p>
    <w:p>
      <w:pPr>
        <w:spacing w:after="0" w:line="110" w:lineRule="exact"/>
        <w:rPr>
          <w:sz w:val="20"/>
          <w:szCs w:val="20"/>
          <w:color w:val="auto"/>
        </w:rPr>
      </w:pPr>
    </w:p>
    <w:p>
      <w:pPr>
        <w:ind w:left="760" w:hanging="251"/>
        <w:spacing w:after="0"/>
        <w:tabs>
          <w:tab w:leader="none" w:pos="76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market-related developments such as expansion or contraction of Company operations in a city or country;</w:t>
      </w:r>
    </w:p>
    <w:p>
      <w:pPr>
        <w:spacing w:after="0" w:line="186" w:lineRule="exact"/>
        <w:rPr>
          <w:rFonts w:ascii="Times New Roman" w:cs="Times New Roman" w:eastAsia="Times New Roman" w:hAnsi="Times New Roman"/>
          <w:sz w:val="16"/>
          <w:szCs w:val="16"/>
          <w:color w:val="auto"/>
        </w:rPr>
      </w:pPr>
    </w:p>
    <w:p>
      <w:pPr>
        <w:ind w:left="760" w:hanging="251"/>
        <w:spacing w:after="0" w:line="263" w:lineRule="auto"/>
        <w:tabs>
          <w:tab w:leader="none" w:pos="76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information relating to products or services, such as new products or services, major modifications or performance issues, significant pricing changes, or other announcements of a significant nature;</w:t>
      </w:r>
    </w:p>
    <w:p>
      <w:pPr>
        <w:spacing w:after="0" w:line="144"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developments relating to intellectual property;</w:t>
      </w:r>
    </w:p>
    <w:p>
      <w:pPr>
        <w:spacing w:after="0" w:line="18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legal or regulatory developments, actual or threatened, including litigation and government agency investigations;</w:t>
      </w:r>
    </w:p>
    <w:p>
      <w:pPr>
        <w:spacing w:after="0" w:line="186" w:lineRule="exact"/>
        <w:rPr>
          <w:rFonts w:ascii="Times New Roman" w:cs="Times New Roman" w:eastAsia="Times New Roman" w:hAnsi="Times New Roman"/>
          <w:sz w:val="16"/>
          <w:szCs w:val="16"/>
          <w:color w:val="auto"/>
        </w:rPr>
      </w:pPr>
    </w:p>
    <w:p>
      <w:pPr>
        <w:ind w:left="760" w:hanging="379"/>
        <w:spacing w:after="0" w:line="263" w:lineRule="auto"/>
        <w:tabs>
          <w:tab w:leader="none" w:pos="753"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events involving Company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ectPr>
          <w:pgSz w:w="11900" w:h="16838" w:orient="portrait"/>
          <w:cols w:equalWidth="0" w:num="1">
            <w:col w:w="11020"/>
          </w:cols>
          <w:pgMar w:left="560" w:top="628" w:right="319" w:bottom="1440" w:gutter="0" w:footer="0" w:header="0"/>
        </w:sectPr>
      </w:pPr>
    </w:p>
    <w:bookmarkStart w:id="249" w:name="page250"/>
    <w:bookmarkEnd w:id="249"/>
    <w:p>
      <w:pPr>
        <w:jc w:val="both"/>
        <w:ind w:left="1020" w:hanging="379"/>
        <w:spacing w:after="0" w:line="249" w:lineRule="auto"/>
        <w:tabs>
          <w:tab w:leader="none" w:pos="1003"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significant corporate events (even if preliminary in nature), such as a pending or proposed merger, joint venture or tender offer, a significant investment, licensing arrangements, strategic partnerships, the acquisition or disposition of a significant business or asset or a change in control of the Company;</w:t>
      </w:r>
    </w:p>
    <w:p>
      <w:pPr>
        <w:spacing w:after="0" w:line="155" w:lineRule="exact"/>
        <w:rPr>
          <w:rFonts w:ascii="Times New Roman" w:cs="Times New Roman" w:eastAsia="Times New Roman" w:hAnsi="Times New Roman"/>
          <w:sz w:val="16"/>
          <w:szCs w:val="16"/>
          <w:color w:val="auto"/>
        </w:rPr>
      </w:pPr>
    </w:p>
    <w:p>
      <w:pPr>
        <w:ind w:left="1020" w:hanging="379"/>
        <w:spacing w:after="0" w:line="263" w:lineRule="auto"/>
        <w:tabs>
          <w:tab w:leader="none" w:pos="1009"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personnel changes, such as changes in senior management, employee terminations, or changes to the Company’s Board of Directors (the “Board”);</w:t>
      </w:r>
    </w:p>
    <w:p>
      <w:pPr>
        <w:spacing w:after="0" w:line="146" w:lineRule="exact"/>
        <w:rPr>
          <w:rFonts w:ascii="Times New Roman" w:cs="Times New Roman" w:eastAsia="Times New Roman" w:hAnsi="Times New Roman"/>
          <w:sz w:val="17"/>
          <w:szCs w:val="17"/>
          <w:color w:val="auto"/>
        </w:rPr>
      </w:pPr>
    </w:p>
    <w:p>
      <w:pPr>
        <w:ind w:left="1020" w:hanging="379"/>
        <w:spacing w:after="0"/>
        <w:tabs>
          <w:tab w:leader="none" w:pos="102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breaches or other cybersecurity events;</w:t>
      </w:r>
    </w:p>
    <w:p>
      <w:pPr>
        <w:spacing w:after="0" w:line="176" w:lineRule="exact"/>
        <w:rPr>
          <w:rFonts w:ascii="Times New Roman" w:cs="Times New Roman" w:eastAsia="Times New Roman" w:hAnsi="Times New Roman"/>
          <w:sz w:val="16"/>
          <w:szCs w:val="16"/>
          <w:color w:val="auto"/>
        </w:rPr>
      </w:pPr>
    </w:p>
    <w:p>
      <w:pPr>
        <w:ind w:left="1020" w:hanging="379"/>
        <w:spacing w:after="0"/>
        <w:tabs>
          <w:tab w:leader="none" w:pos="102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updates regarding any prior Company disclosure that has materially changed; and</w:t>
      </w:r>
    </w:p>
    <w:p>
      <w:pPr>
        <w:spacing w:after="0" w:line="176" w:lineRule="exact"/>
        <w:rPr>
          <w:rFonts w:ascii="Times New Roman" w:cs="Times New Roman" w:eastAsia="Times New Roman" w:hAnsi="Times New Roman"/>
          <w:sz w:val="16"/>
          <w:szCs w:val="16"/>
          <w:color w:val="auto"/>
        </w:rPr>
      </w:pPr>
    </w:p>
    <w:p>
      <w:pPr>
        <w:ind w:left="1020" w:hanging="379"/>
        <w:spacing w:after="0"/>
        <w:tabs>
          <w:tab w:leader="none" w:pos="102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 special blackout period.</w:t>
      </w:r>
    </w:p>
    <w:p>
      <w:pPr>
        <w:spacing w:after="0" w:line="187" w:lineRule="exact"/>
        <w:rPr>
          <w:rFonts w:ascii="Times New Roman" w:cs="Times New Roman" w:eastAsia="Times New Roman" w:hAnsi="Times New Roman"/>
          <w:sz w:val="16"/>
          <w:szCs w:val="16"/>
          <w:color w:val="auto"/>
        </w:rPr>
      </w:pPr>
    </w:p>
    <w:p>
      <w:pPr>
        <w:ind w:left="520" w:hanging="255"/>
        <w:spacing w:after="0" w:line="29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g. Nonpublic – when used in the context of Material Nonpublic information, means information that has not been disclosed to the public generally. Information may be considered disclosed to the public after it has been broadly disseminated in a manner designed to reach investors generally, and the investors must have had sufficient time to absorb the information (e.g., after the close of trading on the second full trading day following the release of such information). Nonpublic information may include:</w:t>
      </w:r>
    </w:p>
    <w:p>
      <w:pPr>
        <w:spacing w:after="0" w:line="125"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2"/>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available to a select group of analysts, brokers, or institutional investors;</w:t>
      </w:r>
    </w:p>
    <w:p>
      <w:pPr>
        <w:spacing w:after="0" w:line="3" w:lineRule="exact"/>
        <w:rPr>
          <w:rFonts w:ascii="Times New Roman" w:cs="Times New Roman" w:eastAsia="Times New Roman" w:hAnsi="Times New Roman"/>
          <w:sz w:val="16"/>
          <w:szCs w:val="16"/>
          <w:color w:val="auto"/>
        </w:rPr>
      </w:pPr>
    </w:p>
    <w:p>
      <w:pPr>
        <w:ind w:left="1020" w:hanging="251"/>
        <w:spacing w:after="0" w:line="235" w:lineRule="auto"/>
        <w:tabs>
          <w:tab w:leader="none" w:pos="1020" w:val="left"/>
        </w:tabs>
        <w:numPr>
          <w:ilvl w:val="2"/>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undisclosed facts that are the subject of rumors, even if the rumors are widely circulated; and</w:t>
      </w:r>
    </w:p>
    <w:p>
      <w:pPr>
        <w:ind w:left="1020" w:hanging="251"/>
        <w:spacing w:after="0"/>
        <w:tabs>
          <w:tab w:leader="none" w:pos="1020" w:val="left"/>
        </w:tabs>
        <w:numPr>
          <w:ilvl w:val="2"/>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 has been entrusted to the Company on a confidential basis until a public announcement of the information has been made.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4. INDIVIDUAL RESPONSIBILITY</w:t>
      </w:r>
    </w:p>
    <w:p>
      <w:pPr>
        <w:spacing w:after="0" w:line="1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It is an individual responsibility to understand and follow this Policy. In addition to personal liability for insider trading, the Company and individual Insiders could face liability. Even the appearance of insider trading can lead to government investigations or lawsuits that are time-consuming, expensive, and can lead to criminal and civil liability, including damages and fines, imprisonment, bars on serving as an officer or director of a public company, and irreparable reputational damage. Any person aware of Material Nonpublic information about the Company is prohibited from engaging in transactions in Company Securities while the information remains both Material and Nonpublic. In all cases, the responsibility for determining whether a person possesses Material Nonpublic information rests with that person. Actions taken by the Company, the Compliance Officer, or any other employee or director under this Policy (or otherwise) do not constitute legal advice or shield such person from liability under applicable securities laws.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5. POLICY STATEMENT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 Insider may:</w:t>
      </w:r>
    </w:p>
    <w:p>
      <w:pPr>
        <w:spacing w:after="0" w:line="177" w:lineRule="exact"/>
        <w:rPr>
          <w:sz w:val="20"/>
          <w:szCs w:val="20"/>
          <w:color w:val="auto"/>
        </w:rPr>
      </w:pPr>
    </w:p>
    <w:p>
      <w:pPr>
        <w:ind w:left="520" w:hanging="260"/>
        <w:spacing w:after="0" w:line="259" w:lineRule="auto"/>
        <w:tabs>
          <w:tab w:leader="none" w:pos="511"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or offer to engage in transactions involving Company Securities while in possession of Material Nonpublic information relating to the Company except as discussed in Section 9 (</w:t>
      </w:r>
      <w:r>
        <w:rPr>
          <w:rFonts w:ascii="Times New Roman" w:cs="Times New Roman" w:eastAsia="Times New Roman" w:hAnsi="Times New Roman"/>
          <w:sz w:val="16"/>
          <w:szCs w:val="16"/>
          <w:i w:val="1"/>
          <w:iCs w:val="1"/>
          <w:color w:val="auto"/>
        </w:rPr>
        <w:t>Limited Exceptions</w:t>
      </w:r>
      <w:r>
        <w:rPr>
          <w:rFonts w:ascii="Times New Roman" w:cs="Times New Roman" w:eastAsia="Times New Roman" w:hAnsi="Times New Roman"/>
          <w:sz w:val="16"/>
          <w:szCs w:val="16"/>
          <w:color w:val="auto"/>
        </w:rPr>
        <w:t>);</w:t>
      </w:r>
    </w:p>
    <w:p>
      <w:pPr>
        <w:spacing w:after="0" w:line="143" w:lineRule="exact"/>
        <w:rPr>
          <w:rFonts w:ascii="Times New Roman" w:cs="Times New Roman" w:eastAsia="Times New Roman" w:hAnsi="Times New Roman"/>
          <w:sz w:val="16"/>
          <w:szCs w:val="16"/>
          <w:color w:val="auto"/>
        </w:rPr>
      </w:pPr>
    </w:p>
    <w:p>
      <w:pPr>
        <w:ind w:left="520" w:hanging="260"/>
        <w:spacing w:after="0" w:line="245" w:lineRule="auto"/>
        <w:tabs>
          <w:tab w:leader="none" w:pos="5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Material Nonpublic information to other directors, officers, employees, consultants, contractors, or advisors whose roles do not require them to have the information;</w:t>
      </w:r>
    </w:p>
    <w:p>
      <w:pPr>
        <w:spacing w:after="0" w:line="165" w:lineRule="exact"/>
        <w:rPr>
          <w:rFonts w:ascii="Times New Roman" w:cs="Times New Roman" w:eastAsia="Times New Roman" w:hAnsi="Times New Roman"/>
          <w:sz w:val="16"/>
          <w:szCs w:val="16"/>
          <w:color w:val="auto"/>
        </w:rPr>
      </w:pPr>
    </w:p>
    <w:p>
      <w:pPr>
        <w:ind w:left="520" w:hanging="260"/>
        <w:spacing w:after="0" w:line="245" w:lineRule="auto"/>
        <w:tabs>
          <w:tab w:leader="none" w:pos="511"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Material Nonpublic information to anyone outside of the Company, including Family Members, friends, business associates, investors or consulting firms, without prior written authorization from the Compliance Officer; or</w:t>
      </w:r>
    </w:p>
    <w:p>
      <w:pPr>
        <w:sectPr>
          <w:pgSz w:w="11900" w:h="16838" w:orient="portrait"/>
          <w:cols w:equalWidth="0" w:num="1">
            <w:col w:w="11280"/>
          </w:cols>
          <w:pgMar w:left="300" w:top="628" w:right="319" w:bottom="1440" w:gutter="0" w:footer="0" w:header="0"/>
        </w:sectPr>
      </w:pPr>
    </w:p>
    <w:bookmarkStart w:id="250" w:name="page251"/>
    <w:bookmarkEnd w:id="250"/>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d.</w:t>
      </w:r>
      <w:r>
        <w:rPr>
          <w:sz w:val="20"/>
          <w:szCs w:val="20"/>
          <w:color w:val="auto"/>
        </w:rPr>
        <w:tab/>
      </w:r>
      <w:r>
        <w:rPr>
          <w:rFonts w:ascii="Times New Roman" w:cs="Times New Roman" w:eastAsia="Times New Roman" w:hAnsi="Times New Roman"/>
          <w:sz w:val="14"/>
          <w:szCs w:val="14"/>
          <w:color w:val="auto"/>
        </w:rPr>
        <w:t>using the Material Nonpublic information to express an opinion or make a recommendation about trading in Company Securities or another company’s securities.</w:t>
      </w:r>
    </w:p>
    <w:p>
      <w:pPr>
        <w:spacing w:after="0" w:line="17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6"/>
          <w:szCs w:val="16"/>
          <w:color w:val="auto"/>
        </w:rPr>
        <w:t xml:space="preserve">If an Insider receives an inquiry for information from someone outside of the Company, such as a stock analyst, or a request for sensitive information outside the ordinary course of business from someone outside of the Company, such as a business partner, vendor, supplier, or salesperson, then the Insider should refer the inquiry to the Compliance Officer. Responding to a request may violate this Policy and, in some circumstances, the law. Please consult the Company’s </w:t>
      </w:r>
      <w:r>
        <w:rPr>
          <w:rFonts w:ascii="Times New Roman" w:cs="Times New Roman" w:eastAsia="Times New Roman" w:hAnsi="Times New Roman"/>
          <w:sz w:val="16"/>
          <w:szCs w:val="16"/>
          <w:b w:val="1"/>
          <w:bCs w:val="1"/>
          <w:color w:val="auto"/>
        </w:rPr>
        <w:t>Regulation FD Communications Policy</w:t>
      </w:r>
      <w:r>
        <w:rPr>
          <w:rFonts w:ascii="Times New Roman" w:cs="Times New Roman" w:eastAsia="Times New Roman" w:hAnsi="Times New Roman"/>
          <w:sz w:val="16"/>
          <w:szCs w:val="16"/>
          <w:color w:val="auto"/>
        </w:rPr>
        <w:t xml:space="preserve"> for more details.</w:t>
      </w:r>
    </w:p>
    <w:p>
      <w:pPr>
        <w:spacing w:after="0" w:line="15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In addition, if an Insider learns of Material Nonpublic information through service with the Company that could be expected to affect the trading price of the securities of another company, such Insider cannot (</w:t>
      </w:r>
      <w:r>
        <w:rPr>
          <w:rFonts w:ascii="Times New Roman" w:cs="Times New Roman" w:eastAsia="Times New Roman" w:hAnsi="Times New Roman"/>
          <w:sz w:val="16"/>
          <w:szCs w:val="16"/>
          <w:i w:val="1"/>
          <w:iCs w:val="1"/>
          <w:color w:val="auto"/>
        </w:rPr>
        <w:t>x</w:t>
      </w:r>
      <w:r>
        <w:rPr>
          <w:rFonts w:ascii="Times New Roman" w:cs="Times New Roman" w:eastAsia="Times New Roman" w:hAnsi="Times New Roman"/>
          <w:sz w:val="16"/>
          <w:szCs w:val="16"/>
          <w:color w:val="auto"/>
        </w:rPr>
        <w:t>) use that information to trade, directly or indirectly through others, or (</w:t>
      </w:r>
      <w:r>
        <w:rPr>
          <w:rFonts w:ascii="Times New Roman" w:cs="Times New Roman" w:eastAsia="Times New Roman" w:hAnsi="Times New Roman"/>
          <w:sz w:val="16"/>
          <w:szCs w:val="16"/>
          <w:i w:val="1"/>
          <w:iCs w:val="1"/>
          <w:color w:val="auto"/>
        </w:rPr>
        <w:t>y</w:t>
      </w:r>
      <w:r>
        <w:rPr>
          <w:rFonts w:ascii="Times New Roman" w:cs="Times New Roman" w:eastAsia="Times New Roman" w:hAnsi="Times New Roman"/>
          <w:sz w:val="16"/>
          <w:szCs w:val="16"/>
          <w:color w:val="auto"/>
        </w:rPr>
        <w:t>) provide that information to another person in order to trade, in the securities of that other company. Any such action will be deemed a violation of this Policy.</w:t>
      </w:r>
    </w:p>
    <w:p>
      <w:pPr>
        <w:spacing w:after="0" w:line="15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As a rule of thumb, if it is questionable whether something might be Material Nonpublic information, it probably is. Insiders can always contact the Compliance Officer with questions.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TRADING RESTRICTIONS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Subject to the exceptions set forth below, this Policy restricts trading during certain periods and by certain Insiders as follows:</w:t>
      </w:r>
    </w:p>
    <w:p>
      <w:pPr>
        <w:spacing w:after="0" w:line="175" w:lineRule="exact"/>
        <w:rPr>
          <w:sz w:val="20"/>
          <w:szCs w:val="20"/>
          <w:color w:val="auto"/>
        </w:rPr>
      </w:pPr>
    </w:p>
    <w:p>
      <w:pPr>
        <w:jc w:val="both"/>
        <w:ind w:left="520" w:hanging="260"/>
        <w:spacing w:after="0" w:line="241" w:lineRule="auto"/>
        <w:tabs>
          <w:tab w:leader="none" w:pos="511"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Quarterly Blackout Periods</w:t>
      </w:r>
      <w:r>
        <w:rPr>
          <w:rFonts w:ascii="Times New Roman" w:cs="Times New Roman" w:eastAsia="Times New Roman" w:hAnsi="Times New Roman"/>
          <w:sz w:val="16"/>
          <w:szCs w:val="16"/>
          <w:color w:val="auto"/>
        </w:rPr>
        <w:t>. Except as discussed in Section 9 (</w:t>
      </w:r>
      <w:r>
        <w:rPr>
          <w:rFonts w:ascii="Times New Roman" w:cs="Times New Roman" w:eastAsia="Times New Roman" w:hAnsi="Times New Roman"/>
          <w:sz w:val="16"/>
          <w:szCs w:val="16"/>
          <w:i w:val="1"/>
          <w:iCs w:val="1"/>
          <w:color w:val="auto"/>
        </w:rPr>
        <w:t>Limited Exceptions</w:t>
      </w:r>
      <w:r>
        <w:rPr>
          <w:rFonts w:ascii="Times New Roman" w:cs="Times New Roman" w:eastAsia="Times New Roman" w:hAnsi="Times New Roman"/>
          <w:sz w:val="16"/>
          <w:szCs w:val="16"/>
          <w:color w:val="auto"/>
        </w:rPr>
        <w:t>), all directors and officers of the Company and those employees and other individuals identified by the Compliance Officer (collectively, the “</w:t>
      </w:r>
      <w:r>
        <w:rPr>
          <w:rFonts w:ascii="Times New Roman" w:cs="Times New Roman" w:eastAsia="Times New Roman" w:hAnsi="Times New Roman"/>
          <w:sz w:val="16"/>
          <w:szCs w:val="16"/>
          <w:b w:val="1"/>
          <w:bCs w:val="1"/>
          <w:u w:val="single" w:color="auto"/>
          <w:color w:val="auto"/>
        </w:rPr>
        <w:t>Blackout Group</w:t>
      </w:r>
      <w:r>
        <w:rPr>
          <w:rFonts w:ascii="Times New Roman" w:cs="Times New Roman" w:eastAsia="Times New Roman" w:hAnsi="Times New Roman"/>
          <w:sz w:val="16"/>
          <w:szCs w:val="16"/>
          <w:color w:val="auto"/>
        </w:rPr>
        <w:t>”) may not conduct transactions involving Company Securities during quarterly blackout periods. Any such employee or other individual that is included in the Blackout Group will be informed of such by the Compliance Officer.</w:t>
      </w:r>
    </w:p>
    <w:p>
      <w:pPr>
        <w:spacing w:after="0" w:line="156" w:lineRule="exact"/>
        <w:rPr>
          <w:rFonts w:ascii="Times New Roman" w:cs="Times New Roman" w:eastAsia="Times New Roman" w:hAnsi="Times New Roman"/>
          <w:sz w:val="16"/>
          <w:szCs w:val="16"/>
          <w:color w:val="auto"/>
        </w:rPr>
      </w:pPr>
    </w:p>
    <w:p>
      <w:pPr>
        <w:jc w:val="both"/>
        <w:ind w:left="52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Quarterly blackout periods also cover the Family Members and any Controlled Entities of the Blackout Group. </w:t>
      </w:r>
      <w:r>
        <w:rPr>
          <w:rFonts w:ascii="Times New Roman" w:cs="Times New Roman" w:eastAsia="Times New Roman" w:hAnsi="Times New Roman"/>
          <w:sz w:val="16"/>
          <w:szCs w:val="16"/>
          <w:b w:val="1"/>
          <w:bCs w:val="1"/>
          <w:color w:val="auto"/>
        </w:rPr>
        <w:t>Even if an individual is not specifically identified as being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 the Blackout Group, all individuals should exercise caution when engaging in transactions during quarterly blackout periods because of the heightened risk of insider trading exposure</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jc w:val="both"/>
        <w:ind w:left="52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blackout periods start at the end of the fifteenth (15th) day before the end of each fiscal quarter and end at the start of the third (3rd) full trading day following the date of public disclosure of the financial results for that fiscal quarter. Outside of quarterly blackout periods, persons in the Blackout Group may conduct transactions involving Company Securities as long as they are not subject to a special blackout period and have obtained proper pre-clearance.</w:t>
      </w:r>
    </w:p>
    <w:p>
      <w:pPr>
        <w:spacing w:after="0" w:line="170" w:lineRule="exact"/>
        <w:rPr>
          <w:rFonts w:ascii="Times New Roman" w:cs="Times New Roman" w:eastAsia="Times New Roman" w:hAnsi="Times New Roman"/>
          <w:sz w:val="16"/>
          <w:szCs w:val="16"/>
          <w:color w:val="auto"/>
        </w:rPr>
      </w:pPr>
    </w:p>
    <w:p>
      <w:pPr>
        <w:jc w:val="both"/>
        <w:ind w:left="52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prohibition against trading during the blackout period also means that brokers cannot fulfill open orders on an individual’s behalf or on behalf of Family Members or Controlled Entities during the blackout period, including “limit orders” to buy or sell Company Securities at a specific price or better and “stop orders” to buy or sell Company Securities once the price of the stock reaches a specified price. If Insiders are in the Blackout Group, such Insiders should inform any broker with whom such an open order is placed of the restrictions against trading during the blackout period at the time the order is placed.</w:t>
      </w:r>
    </w:p>
    <w:p>
      <w:pPr>
        <w:spacing w:after="0" w:line="170" w:lineRule="exact"/>
        <w:rPr>
          <w:rFonts w:ascii="Times New Roman" w:cs="Times New Roman" w:eastAsia="Times New Roman" w:hAnsi="Times New Roman"/>
          <w:sz w:val="16"/>
          <w:szCs w:val="16"/>
          <w:color w:val="auto"/>
        </w:rPr>
      </w:pPr>
    </w:p>
    <w:p>
      <w:pPr>
        <w:ind w:left="5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time to time, the Company may identify other persons who should be subject to quarterly blackout periods and the Compliance Officer may update and revise list of individuals included in the Blackout Group as appropriate.</w:t>
      </w:r>
    </w:p>
    <w:p>
      <w:pPr>
        <w:spacing w:after="0" w:line="154" w:lineRule="exact"/>
        <w:rPr>
          <w:rFonts w:ascii="Times New Roman" w:cs="Times New Roman" w:eastAsia="Times New Roman" w:hAnsi="Times New Roman"/>
          <w:sz w:val="16"/>
          <w:szCs w:val="16"/>
          <w:color w:val="auto"/>
        </w:rPr>
      </w:pPr>
    </w:p>
    <w:p>
      <w:pPr>
        <w:ind w:left="520" w:hanging="260"/>
        <w:spacing w:after="0"/>
        <w:tabs>
          <w:tab w:leader="none" w:pos="421"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Special Blackout Periods</w:t>
      </w:r>
      <w:r>
        <w:rPr>
          <w:rFonts w:ascii="Times New Roman" w:cs="Times New Roman" w:eastAsia="Times New Roman" w:hAnsi="Times New Roman"/>
          <w:sz w:val="16"/>
          <w:szCs w:val="16"/>
          <w:color w:val="auto"/>
        </w:rPr>
        <w:t>. The Company always retains the right to impose additional or longer trading blackout periods at any time on any or all of Insiders. The Compliance Officer will notify Insiders in writing or via email that are subject to a special blackout period. Upon such notice, Insiders may not conduct transactions involving Company Securities until the special blackout</w:t>
      </w:r>
    </w:p>
    <w:p>
      <w:pPr>
        <w:sectPr>
          <w:pgSz w:w="11900" w:h="16838" w:orient="portrait"/>
          <w:cols w:equalWidth="0" w:num="1">
            <w:col w:w="11280"/>
          </w:cols>
          <w:pgMar w:left="300" w:top="630" w:right="319" w:bottom="1440" w:gutter="0" w:footer="0" w:header="0"/>
        </w:sectPr>
      </w:pPr>
    </w:p>
    <w:bookmarkStart w:id="251" w:name="page252"/>
    <w:bookmarkEnd w:id="251"/>
    <w:p>
      <w:pPr>
        <w:ind w:left="520"/>
        <w:spacing w:after="0"/>
        <w:rPr>
          <w:sz w:val="20"/>
          <w:szCs w:val="20"/>
          <w:color w:val="auto"/>
        </w:rPr>
      </w:pPr>
      <w:r>
        <w:rPr>
          <w:rFonts w:ascii="Times New Roman" w:cs="Times New Roman" w:eastAsia="Times New Roman" w:hAnsi="Times New Roman"/>
          <w:sz w:val="16"/>
          <w:szCs w:val="16"/>
          <w:color w:val="auto"/>
        </w:rPr>
        <w:t>period has ended other than the transactions that are covered by the exceptions below in Section 9 (</w:t>
      </w:r>
      <w:r>
        <w:rPr>
          <w:rFonts w:ascii="Times New Roman" w:cs="Times New Roman" w:eastAsia="Times New Roman" w:hAnsi="Times New Roman"/>
          <w:sz w:val="16"/>
          <w:szCs w:val="16"/>
          <w:i w:val="1"/>
          <w:iCs w:val="1"/>
          <w:color w:val="auto"/>
        </w:rPr>
        <w:t>Limited Exceptions</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Insiders also may not disclose to anyone else that the Company has imposed a special blackout period, as the existence of a special blackout period is considered Material information. </w:t>
      </w:r>
      <w:r>
        <w:rPr>
          <w:rFonts w:ascii="Times New Roman" w:cs="Times New Roman" w:eastAsia="Times New Roman" w:hAnsi="Times New Roman"/>
          <w:sz w:val="16"/>
          <w:szCs w:val="16"/>
          <w:color w:val="auto"/>
        </w:rPr>
        <w:t>To the extent applicable, special blackout periods also cover Family Members and Controlled Entities.</w:t>
      </w:r>
    </w:p>
    <w:p>
      <w:pPr>
        <w:spacing w:after="0" w:line="139" w:lineRule="exact"/>
        <w:rPr>
          <w:sz w:val="20"/>
          <w:szCs w:val="20"/>
          <w:color w:val="auto"/>
        </w:rPr>
      </w:pPr>
    </w:p>
    <w:p>
      <w:pPr>
        <w:jc w:val="both"/>
        <w:ind w:left="520" w:hanging="260"/>
        <w:spacing w:after="0" w:line="233" w:lineRule="auto"/>
        <w:tabs>
          <w:tab w:leader="none" w:pos="529"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 BTR Blackouts</w:t>
      </w:r>
      <w:r>
        <w:rPr>
          <w:rFonts w:ascii="Times New Roman" w:cs="Times New Roman" w:eastAsia="Times New Roman" w:hAnsi="Times New Roman"/>
          <w:sz w:val="16"/>
          <w:szCs w:val="16"/>
          <w:color w:val="auto"/>
        </w:rPr>
        <w:t>. Directors and officers may also be subject to trading blackouts pursuant to Regulation Blackout Trading Restriction (“</w:t>
      </w:r>
      <w:r>
        <w:rPr>
          <w:rFonts w:ascii="Times New Roman" w:cs="Times New Roman" w:eastAsia="Times New Roman" w:hAnsi="Times New Roman"/>
          <w:sz w:val="16"/>
          <w:szCs w:val="16"/>
          <w:b w:val="1"/>
          <w:bCs w:val="1"/>
          <w:u w:val="single" w:color="auto"/>
          <w:color w:val="auto"/>
        </w:rPr>
        <w:t>Regulation BTR</w:t>
      </w:r>
      <w:r>
        <w:rPr>
          <w:rFonts w:ascii="Times New Roman" w:cs="Times New Roman" w:eastAsia="Times New Roman" w:hAnsi="Times New Roman"/>
          <w:sz w:val="16"/>
          <w:szCs w:val="16"/>
          <w:color w:val="auto"/>
        </w:rPr>
        <w:t>”)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regulators and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60" w:lineRule="exact"/>
        <w:rPr>
          <w:rFonts w:ascii="Times New Roman" w:cs="Times New Roman" w:eastAsia="Times New Roman" w:hAnsi="Times New Roman"/>
          <w:sz w:val="16"/>
          <w:szCs w:val="16"/>
          <w:color w:val="auto"/>
        </w:rPr>
      </w:pPr>
    </w:p>
    <w:p>
      <w:pPr>
        <w:ind w:left="160" w:hanging="155"/>
        <w:spacing w:after="0"/>
        <w:tabs>
          <w:tab w:leader="none" w:pos="16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PROHIBITED TRANSACTIONS</w:t>
      </w:r>
    </w:p>
    <w:p>
      <w:pPr>
        <w:spacing w:after="0" w:line="18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6"/>
          <w:szCs w:val="16"/>
          <w:color w:val="auto"/>
        </w:rPr>
        <w:t>In addition to the prohibition on trading during blackout periods described in Section 6 (</w:t>
      </w:r>
      <w:r>
        <w:rPr>
          <w:rFonts w:ascii="Times New Roman" w:cs="Times New Roman" w:eastAsia="Times New Roman" w:hAnsi="Times New Roman"/>
          <w:sz w:val="16"/>
          <w:szCs w:val="16"/>
          <w:i w:val="1"/>
          <w:iCs w:val="1"/>
          <w:color w:val="auto"/>
        </w:rPr>
        <w:t>Trading Restrictions</w:t>
      </w:r>
      <w:r>
        <w:rPr>
          <w:rFonts w:ascii="Times New Roman" w:cs="Times New Roman" w:eastAsia="Times New Roman" w:hAnsi="Times New Roman"/>
          <w:sz w:val="16"/>
          <w:szCs w:val="16"/>
          <w:color w:val="auto"/>
        </w:rPr>
        <w:t>), Insiders may not engage in any of the following types of transactions other than as noted below, regardless of the existence or absence of a blackout period and regardless of whether an Insider has Material Nonpublic information.</w:t>
      </w:r>
    </w:p>
    <w:p>
      <w:pPr>
        <w:spacing w:after="0" w:line="152" w:lineRule="exact"/>
        <w:rPr>
          <w:sz w:val="20"/>
          <w:szCs w:val="20"/>
          <w:color w:val="auto"/>
        </w:rPr>
      </w:pPr>
    </w:p>
    <w:p>
      <w:pPr>
        <w:ind w:left="520" w:hanging="260"/>
        <w:spacing w:after="0" w:line="259" w:lineRule="auto"/>
        <w:tabs>
          <w:tab w:leader="none" w:pos="511"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Derivative Transactions</w:t>
      </w:r>
      <w:r>
        <w:rPr>
          <w:rFonts w:ascii="Times New Roman" w:cs="Times New Roman" w:eastAsia="Times New Roman" w:hAnsi="Times New Roman"/>
          <w:sz w:val="16"/>
          <w:szCs w:val="16"/>
          <w:color w:val="auto"/>
        </w:rPr>
        <w:t>. Transactions in options, such as puts and calls, and other derivative securities with respect to Company Securities (other than stock options, performance awards, restricted stock units, and other compensatory awards issued to an individual by the Company).</w:t>
      </w:r>
    </w:p>
    <w:p>
      <w:pPr>
        <w:spacing w:after="0" w:line="143" w:lineRule="exact"/>
        <w:rPr>
          <w:rFonts w:ascii="Times New Roman" w:cs="Times New Roman" w:eastAsia="Times New Roman" w:hAnsi="Times New Roman"/>
          <w:sz w:val="16"/>
          <w:szCs w:val="16"/>
          <w:color w:val="auto"/>
        </w:rPr>
      </w:pPr>
    </w:p>
    <w:p>
      <w:pPr>
        <w:jc w:val="both"/>
        <w:ind w:left="520" w:hanging="260"/>
        <w:spacing w:after="0"/>
        <w:tabs>
          <w:tab w:leader="none" w:pos="5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Hedging Transactions</w:t>
      </w:r>
      <w:r>
        <w:rPr>
          <w:rFonts w:ascii="Times New Roman" w:cs="Times New Roman" w:eastAsia="Times New Roman" w:hAnsi="Times New Roman"/>
          <w:sz w:val="16"/>
          <w:szCs w:val="16"/>
          <w:color w:val="auto"/>
        </w:rPr>
        <w:t>. Transactions related to the purchase of financial instruments (including prepaid variable forward contracts, equity swaps, collars, and exchange funds), or otherwise engage in transactions that hedge or offset, or are designed to hedge or offset, any decrease in the market value of Company Securities either (i) granted to an Insider by the Company as part of compensation or (ii) held, directly or indirectly, by an Insider.</w:t>
      </w:r>
    </w:p>
    <w:p>
      <w:pPr>
        <w:spacing w:after="0" w:line="169"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Margin Accounts</w:t>
      </w:r>
      <w:r>
        <w:rPr>
          <w:rFonts w:ascii="Times New Roman" w:cs="Times New Roman" w:eastAsia="Times New Roman" w:hAnsi="Times New Roman"/>
          <w:sz w:val="16"/>
          <w:szCs w:val="16"/>
          <w:color w:val="auto"/>
        </w:rPr>
        <w:t>. Holding Company Securities in margin accounts.</w:t>
      </w:r>
    </w:p>
    <w:p>
      <w:pPr>
        <w:spacing w:after="0" w:line="17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Pledging Transactions</w:t>
      </w:r>
      <w:r>
        <w:rPr>
          <w:rFonts w:ascii="Times New Roman" w:cs="Times New Roman" w:eastAsia="Times New Roman" w:hAnsi="Times New Roman"/>
          <w:sz w:val="16"/>
          <w:szCs w:val="16"/>
          <w:color w:val="auto"/>
        </w:rPr>
        <w:t>. Using Company Securities as collateral for any loan or as part of any other pledging transaction.</w:t>
      </w:r>
    </w:p>
    <w:p>
      <w:pPr>
        <w:spacing w:after="0" w:line="176"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Short Sales</w:t>
      </w:r>
      <w:r>
        <w:rPr>
          <w:rFonts w:ascii="Times New Roman" w:cs="Times New Roman" w:eastAsia="Times New Roman" w:hAnsi="Times New Roman"/>
          <w:sz w:val="16"/>
          <w:szCs w:val="16"/>
          <w:color w:val="auto"/>
        </w:rPr>
        <w:t>. Selling Company Securities (meaning the sale of a security that must be borrowed to make delivery) or “sell short against the box” (meaning the sale of a security with a delayed delivery) if such sales involve Company Securities.</w:t>
      </w:r>
    </w:p>
    <w:p>
      <w:pPr>
        <w:spacing w:after="0" w:line="143" w:lineRule="exact"/>
        <w:rPr>
          <w:rFonts w:ascii="Times New Roman" w:cs="Times New Roman" w:eastAsia="Times New Roman" w:hAnsi="Times New Roman"/>
          <w:sz w:val="16"/>
          <w:szCs w:val="16"/>
          <w:color w:val="auto"/>
        </w:rPr>
      </w:pPr>
    </w:p>
    <w:p>
      <w:pPr>
        <w:ind w:left="520" w:hanging="260"/>
        <w:spacing w:after="0" w:line="259" w:lineRule="auto"/>
        <w:tabs>
          <w:tab w:leader="none" w:pos="515"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Short-Term Trading</w:t>
      </w:r>
      <w:r>
        <w:rPr>
          <w:rFonts w:ascii="Times New Roman" w:cs="Times New Roman" w:eastAsia="Times New Roman" w:hAnsi="Times New Roman"/>
          <w:sz w:val="16"/>
          <w:szCs w:val="16"/>
          <w:color w:val="auto"/>
        </w:rPr>
        <w:t>. Selling Company Securities of the same class within six (6) months of purchase or purchasing Company Securities of the same class within six (6) months of sale.</w:t>
      </w:r>
    </w:p>
    <w:p>
      <w:pPr>
        <w:spacing w:after="0" w:line="143" w:lineRule="exact"/>
        <w:rPr>
          <w:rFonts w:ascii="Times New Roman" w:cs="Times New Roman" w:eastAsia="Times New Roman" w:hAnsi="Times New Roman"/>
          <w:sz w:val="16"/>
          <w:szCs w:val="16"/>
          <w:color w:val="auto"/>
        </w:rPr>
      </w:pPr>
    </w:p>
    <w:p>
      <w:pPr>
        <w:ind w:left="520" w:hanging="260"/>
        <w:spacing w:after="0" w:line="259" w:lineRule="auto"/>
        <w:tabs>
          <w:tab w:leader="none" w:pos="5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Standing and Limit Orders</w:t>
      </w:r>
      <w:r>
        <w:rPr>
          <w:rFonts w:ascii="Times New Roman" w:cs="Times New Roman" w:eastAsia="Times New Roman" w:hAnsi="Times New Roman"/>
          <w:sz w:val="16"/>
          <w:szCs w:val="16"/>
          <w:color w:val="auto"/>
        </w:rPr>
        <w:t>. Transactions where the instructions are to buy or sell Company Securities only if the price reaches specific criteria, other than those transactions that are open for only a limited duration.</w:t>
      </w:r>
    </w:p>
    <w:p>
      <w:pPr>
        <w:spacing w:after="0" w:line="143"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Transactions</w:t>
      </w:r>
      <w:r>
        <w:rPr>
          <w:rFonts w:ascii="Times New Roman" w:cs="Times New Roman" w:eastAsia="Times New Roman" w:hAnsi="Times New Roman"/>
          <w:sz w:val="14"/>
          <w:szCs w:val="14"/>
          <w:color w:val="auto"/>
        </w:rPr>
        <w:t>. Transactions that the Company may, from time to time, determine to be prohibited or allowed only with prior written consent of the Compliance Officer.</w:t>
      </w:r>
    </w:p>
    <w:p>
      <w:pPr>
        <w:spacing w:after="0" w:line="197"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PRE-CLEARANCE OF TRADES</w:t>
      </w:r>
    </w:p>
    <w:p>
      <w:pPr>
        <w:sectPr>
          <w:pgSz w:w="11900" w:h="16838" w:orient="portrait"/>
          <w:cols w:equalWidth="0" w:num="1">
            <w:col w:w="11280"/>
          </w:cols>
          <w:pgMar w:left="300" w:top="628" w:right="319" w:bottom="1440" w:gutter="0" w:footer="0" w:header="0"/>
        </w:sectPr>
      </w:pPr>
    </w:p>
    <w:bookmarkStart w:id="252" w:name="page253"/>
    <w:bookmarkEnd w:id="252"/>
    <w:p>
      <w:pPr>
        <w:jc w:val="both"/>
        <w:ind w:firstLine="509"/>
        <w:spacing w:after="0" w:line="233" w:lineRule="auto"/>
        <w:rPr>
          <w:sz w:val="20"/>
          <w:szCs w:val="20"/>
          <w:color w:val="auto"/>
        </w:rPr>
      </w:pPr>
      <w:r>
        <w:rPr>
          <w:rFonts w:ascii="Times New Roman" w:cs="Times New Roman" w:eastAsia="Times New Roman" w:hAnsi="Times New Roman"/>
          <w:sz w:val="16"/>
          <w:szCs w:val="16"/>
          <w:color w:val="auto"/>
        </w:rPr>
        <w:t>The Company’s directors and officers and any other persons identified on a list maintained by the Compliance Officer are subject to pre-clearance requirements (the “</w:t>
      </w:r>
      <w:r>
        <w:rPr>
          <w:rFonts w:ascii="Times New Roman" w:cs="Times New Roman" w:eastAsia="Times New Roman" w:hAnsi="Times New Roman"/>
          <w:sz w:val="16"/>
          <w:szCs w:val="16"/>
          <w:b w:val="1"/>
          <w:bCs w:val="1"/>
          <w:u w:val="single" w:color="auto"/>
          <w:color w:val="auto"/>
        </w:rPr>
        <w:t>Pre-Clearance Group</w:t>
      </w:r>
      <w:r>
        <w:rPr>
          <w:rFonts w:ascii="Times New Roman" w:cs="Times New Roman" w:eastAsia="Times New Roman" w:hAnsi="Times New Roman"/>
          <w:sz w:val="16"/>
          <w:szCs w:val="16"/>
          <w:color w:val="auto"/>
        </w:rPr>
        <w:t>”) and must obtain pre-clearance prior to conducting transactions in Company Securities, whether via an electronic trading platform (such as E*Trade)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Insiders in the Pre-Clearance Group must submit to the Compliance Officer a pre-clearance request in the form provided by the Compliance Officer at least two (2) business days prior to the proposed transaction. The Compliance Officer is under no obligation to approve a transaction submitted for pre-clearance and may determine not to permit the transaction. Approving a transaction requires the Insider to certify that the Insider is not in possession of Material Nonpublic information about the Company. The Company will not pre-clear trades occurring during quarterly black periods or special blackout periods. If an Insider seeks pre-clearance and permission to engage in the transaction is denied, the Insider must refrain from trading in Company Securities and should not share the restriction with others.</w:t>
      </w:r>
    </w:p>
    <w:p>
      <w:pPr>
        <w:spacing w:after="0" w:line="16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6"/>
          <w:szCs w:val="16"/>
          <w:color w:val="auto"/>
        </w:rPr>
        <w:t>If the Compliance Officer is the one requesting pre-clearance, then the Company’s Chief Executive Officer, Chief Financial Officer, or their delegate, must review any transaction, and are under no obligation to approve a transaction submitted for pre-clearance.</w:t>
      </w:r>
    </w:p>
    <w:p>
      <w:pPr>
        <w:spacing w:after="0" w:line="165"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16"/>
          <w:szCs w:val="16"/>
          <w:color w:val="auto"/>
        </w:rPr>
        <w:t>Approved trades must be executed within three (3) business days of any approval. Even after pre-clearance, trading in Company Securities is prohibited if the individual subsequently become subject to a blackout period or aware of Material Nonpublic information prior to the trade being executed. If Material Nonpublic information is obtained after pre-clearance was granted but before the trade is executed, the previously granted permission to engage in such trade is void and the person must pre-clearance as described above after the information is no longer Material or Nonpublic.</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Insiders in the Pre-Clearance Group should inform their broker of their status in the Pre-Clearance Group before placing an order.</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6"/>
          <w:szCs w:val="16"/>
          <w:color w:val="auto"/>
        </w:rPr>
        <w:t>From time to time, the Company may identify other persons who should be subject to the pre-clearance requirements set forth above, and the Compliance Officer may update and revise the list of individuals included in the Pre-Clearance Group as appropriate.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LIMITED EXCEPTIONS</w:t>
      </w:r>
    </w:p>
    <w:p>
      <w:pPr>
        <w:spacing w:after="0" w:line="17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There are no unconditional “safe harbors” for transactions made at particular times and all Insiders should exercise good judgment at all times. Even when a quarterly blackout period is not in effect, Insiders may be prohibited from engaging in transactions involving the Company Securities because they possess Material Nonpublic information, are subject to a special blackout period, or are otherwise restricted under this Policy.</w:t>
      </w:r>
    </w:p>
    <w:p>
      <w:pPr>
        <w:spacing w:after="0" w:line="15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Other than the limited exceptions set forth below, any other exceptions to this Policy must be approved by the Compliance Officer, in consultation with the Board or an independent committee of the Board.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are limited exceptions to the quarterly and special blackout period restrictions and pre-clearance requirements imposed by the Company under this Policy:</w:t>
      </w:r>
    </w:p>
    <w:p>
      <w:pPr>
        <w:spacing w:after="0" w:line="210" w:lineRule="exact"/>
        <w:rPr>
          <w:sz w:val="20"/>
          <w:szCs w:val="20"/>
          <w:color w:val="auto"/>
        </w:rPr>
      </w:pPr>
    </w:p>
    <w:p>
      <w:pPr>
        <w:jc w:val="both"/>
        <w:ind w:left="520" w:hanging="260"/>
        <w:spacing w:after="0"/>
        <w:tabs>
          <w:tab w:leader="none" w:pos="511"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Options</w:t>
      </w:r>
      <w:r>
        <w:rPr>
          <w:rFonts w:ascii="Times New Roman" w:cs="Times New Roman" w:eastAsia="Times New Roman" w:hAnsi="Times New Roman"/>
          <w:sz w:val="16"/>
          <w:szCs w:val="16"/>
          <w:color w:val="auto"/>
        </w:rPr>
        <w:t>. Exercising stock options granted under the Company’s equity incentive plans where the purchase price of such stock options is paid in cash and there is no other associated market activity. However, the sale of any shares issued on the exercise of Company-granted stock options are still subject to trading restrictions under this Policy.</w:t>
      </w:r>
    </w:p>
    <w:p>
      <w:pPr>
        <w:spacing w:after="0" w:line="158" w:lineRule="exact"/>
        <w:rPr>
          <w:rFonts w:ascii="Times New Roman" w:cs="Times New Roman" w:eastAsia="Times New Roman" w:hAnsi="Times New Roman"/>
          <w:sz w:val="16"/>
          <w:szCs w:val="16"/>
          <w:color w:val="auto"/>
        </w:rPr>
      </w:pPr>
    </w:p>
    <w:p>
      <w:pPr>
        <w:ind w:left="520" w:hanging="260"/>
        <w:spacing w:after="0" w:line="315" w:lineRule="auto"/>
        <w:tabs>
          <w:tab w:leader="none" w:pos="5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Receipt and Vesting of Equity Awards</w:t>
      </w:r>
      <w:r>
        <w:rPr>
          <w:rFonts w:ascii="Times New Roman" w:cs="Times New Roman" w:eastAsia="Times New Roman" w:hAnsi="Times New Roman"/>
          <w:sz w:val="14"/>
          <w:szCs w:val="14"/>
          <w:color w:val="auto"/>
        </w:rPr>
        <w:t>. Receiving and vesting of stock options, performance awards, restricted stock units, restricted stock or other equity compensation awards from the Company. However, any market sale of equity awards is subject to trading restrictions under this Policy, including sales of equity to cover tax obligations.</w:t>
      </w:r>
    </w:p>
    <w:p>
      <w:pPr>
        <w:sectPr>
          <w:pgSz w:w="11900" w:h="16838" w:orient="portrait"/>
          <w:cols w:equalWidth="0" w:num="1">
            <w:col w:w="11280"/>
          </w:cols>
          <w:pgMar w:left="300" w:top="819" w:right="319" w:bottom="1440" w:gutter="0" w:footer="0" w:header="0"/>
        </w:sectPr>
      </w:pPr>
    </w:p>
    <w:bookmarkStart w:id="253" w:name="page254"/>
    <w:bookmarkEnd w:id="253"/>
    <w:p>
      <w:pPr>
        <w:jc w:val="both"/>
        <w:ind w:left="520" w:hanging="260"/>
        <w:spacing w:after="0" w:line="241" w:lineRule="auto"/>
        <w:tabs>
          <w:tab w:leader="none" w:pos="51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Stock Purchase Plan (the “</w:t>
      </w:r>
      <w:r>
        <w:rPr>
          <w:rFonts w:ascii="Times New Roman" w:cs="Times New Roman" w:eastAsia="Times New Roman" w:hAnsi="Times New Roman"/>
          <w:sz w:val="16"/>
          <w:szCs w:val="16"/>
          <w:b w:val="1"/>
          <w:bCs w:val="1"/>
          <w:u w:val="single" w:color="auto"/>
          <w:color w:val="auto"/>
        </w:rPr>
        <w:t>ESPP</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Purchasing Company Securities through periodic, automatic payroll contributions to the Company’s ESPP. However, </w:t>
      </w:r>
      <w:r>
        <w:rPr>
          <w:rFonts w:ascii="Times New Roman" w:cs="Times New Roman" w:eastAsia="Times New Roman" w:hAnsi="Times New Roman"/>
          <w:sz w:val="16"/>
          <w:szCs w:val="16"/>
          <w:color w:val="252525"/>
        </w:rPr>
        <w:t>electing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52525"/>
        </w:rPr>
        <w:t>to enroll in the ESPP, making any changes to elections under the ESPP, and selling any Company Securities acquired under the ESPP are subject to trading restrictions under this Policy.</w:t>
      </w:r>
    </w:p>
    <w:p>
      <w:pPr>
        <w:spacing w:after="0" w:line="156" w:lineRule="exact"/>
        <w:rPr>
          <w:rFonts w:ascii="Times New Roman" w:cs="Times New Roman" w:eastAsia="Times New Roman" w:hAnsi="Times New Roman"/>
          <w:sz w:val="16"/>
          <w:szCs w:val="16"/>
          <w:color w:val="auto"/>
        </w:rPr>
      </w:pPr>
    </w:p>
    <w:p>
      <w:pPr>
        <w:jc w:val="both"/>
        <w:ind w:left="520" w:hanging="260"/>
        <w:spacing w:after="0" w:line="239" w:lineRule="auto"/>
        <w:tabs>
          <w:tab w:leader="none" w:pos="5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 Net share withholding with respect to equity awards where shares are withheld by the Company in order to satisfy tax withholding requirements, (</w:t>
      </w:r>
      <w:r>
        <w:rPr>
          <w:rFonts w:ascii="Times New Roman" w:cs="Times New Roman" w:eastAsia="Times New Roman" w:hAnsi="Times New Roman"/>
          <w:sz w:val="16"/>
          <w:szCs w:val="16"/>
          <w:i w:val="1"/>
          <w:iCs w:val="1"/>
          <w:color w:val="auto"/>
        </w:rPr>
        <w:t>x</w:t>
      </w:r>
      <w:r>
        <w:rPr>
          <w:rFonts w:ascii="Times New Roman" w:cs="Times New Roman" w:eastAsia="Times New Roman" w:hAnsi="Times New Roman"/>
          <w:sz w:val="16"/>
          <w:szCs w:val="16"/>
          <w:color w:val="auto"/>
        </w:rPr>
        <w:t>) as required by either the Board (or an independent committee of the Board) or the award agreement governing such equity award or (</w:t>
      </w:r>
      <w:r>
        <w:rPr>
          <w:rFonts w:ascii="Times New Roman" w:cs="Times New Roman" w:eastAsia="Times New Roman" w:hAnsi="Times New Roman"/>
          <w:sz w:val="16"/>
          <w:szCs w:val="16"/>
          <w:i w:val="1"/>
          <w:iCs w:val="1"/>
          <w:color w:val="auto"/>
        </w:rPr>
        <w:t>y</w:t>
      </w:r>
      <w:r>
        <w:rPr>
          <w:rFonts w:ascii="Times New Roman" w:cs="Times New Roman" w:eastAsia="Times New Roman" w:hAnsi="Times New Roman"/>
          <w:sz w:val="16"/>
          <w:szCs w:val="16"/>
          <w:color w:val="auto"/>
        </w:rPr>
        <w:t>) as elected by the Insider, if permitted by the Company, so long as the election is irrevocable and made in writing at a time when a trading blackout is not in place and an Insider is not in possession of Material Nonpublic information.</w:t>
      </w:r>
    </w:p>
    <w:p>
      <w:pPr>
        <w:spacing w:after="0" w:line="160" w:lineRule="exact"/>
        <w:rPr>
          <w:rFonts w:ascii="Times New Roman" w:cs="Times New Roman" w:eastAsia="Times New Roman" w:hAnsi="Times New Roman"/>
          <w:sz w:val="16"/>
          <w:szCs w:val="16"/>
          <w:color w:val="auto"/>
        </w:rPr>
      </w:pPr>
    </w:p>
    <w:p>
      <w:pPr>
        <w:jc w:val="both"/>
        <w:ind w:left="520" w:hanging="260"/>
        <w:spacing w:after="0" w:line="267" w:lineRule="auto"/>
        <w:tabs>
          <w:tab w:leader="none" w:pos="511"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Sell to Cover Transactions</w:t>
      </w:r>
      <w:r>
        <w:rPr>
          <w:rFonts w:ascii="Times New Roman" w:cs="Times New Roman" w:eastAsia="Times New Roman" w:hAnsi="Times New Roman"/>
          <w:sz w:val="14"/>
          <w:szCs w:val="14"/>
          <w:color w:val="auto"/>
        </w:rPr>
        <w:t>. Sell to cover transactions where shares are sold on the Insider’s behalf upon vesting of equity awards and sold in order to satisfy tax withholding requirements, (</w:t>
      </w:r>
      <w:r>
        <w:rPr>
          <w:rFonts w:ascii="Times New Roman" w:cs="Times New Roman" w:eastAsia="Times New Roman" w:hAnsi="Times New Roman"/>
          <w:sz w:val="14"/>
          <w:szCs w:val="14"/>
          <w:i w:val="1"/>
          <w:iCs w:val="1"/>
          <w:color w:val="auto"/>
        </w:rPr>
        <w:t>x</w:t>
      </w:r>
      <w:r>
        <w:rPr>
          <w:rFonts w:ascii="Times New Roman" w:cs="Times New Roman" w:eastAsia="Times New Roman" w:hAnsi="Times New Roman"/>
          <w:sz w:val="14"/>
          <w:szCs w:val="14"/>
          <w:color w:val="auto"/>
        </w:rPr>
        <w:t>) as required by either the Board (or an independent committee of the Board) or the award agreement governing such equity award or (</w:t>
      </w:r>
      <w:r>
        <w:rPr>
          <w:rFonts w:ascii="Times New Roman" w:cs="Times New Roman" w:eastAsia="Times New Roman" w:hAnsi="Times New Roman"/>
          <w:sz w:val="14"/>
          <w:szCs w:val="14"/>
          <w:i w:val="1"/>
          <w:iCs w:val="1"/>
          <w:color w:val="auto"/>
        </w:rPr>
        <w:t>y</w:t>
      </w:r>
      <w:r>
        <w:rPr>
          <w:rFonts w:ascii="Times New Roman" w:cs="Times New Roman" w:eastAsia="Times New Roman" w:hAnsi="Times New Roman"/>
          <w:sz w:val="14"/>
          <w:szCs w:val="14"/>
          <w:color w:val="auto"/>
        </w:rPr>
        <w:t>) as elected by the Insider,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10b5-1 Trading Plans</w:t>
      </w:r>
      <w:r>
        <w:rPr>
          <w:rFonts w:ascii="Times New Roman" w:cs="Times New Roman" w:eastAsia="Times New Roman" w:hAnsi="Times New Roman"/>
          <w:sz w:val="16"/>
          <w:szCs w:val="16"/>
          <w:color w:val="auto"/>
        </w:rPr>
        <w:t>. Transactions made pursuant to a valid 10b5-1 trading plan approved by the Company as discussed in Section 10 (</w:t>
      </w:r>
      <w:r>
        <w:rPr>
          <w:rFonts w:ascii="Times New Roman" w:cs="Times New Roman" w:eastAsia="Times New Roman" w:hAnsi="Times New Roman"/>
          <w:sz w:val="16"/>
          <w:szCs w:val="16"/>
          <w:i w:val="1"/>
          <w:iCs w:val="1"/>
          <w:color w:val="auto"/>
        </w:rPr>
        <w:t>10b5-1 Trading Plans</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jc w:val="both"/>
        <w:ind w:left="520" w:hanging="260"/>
        <w:spacing w:after="0" w:line="233" w:lineRule="auto"/>
        <w:tabs>
          <w:tab w:leader="none" w:pos="5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401(k) Plans</w:t>
      </w:r>
      <w:r>
        <w:rPr>
          <w:rFonts w:ascii="Times New Roman" w:cs="Times New Roman" w:eastAsia="Times New Roman" w:hAnsi="Times New Roman"/>
          <w:sz w:val="16"/>
          <w:szCs w:val="16"/>
          <w:color w:val="auto"/>
        </w:rPr>
        <w:t>. Purchases of the Company’s stock in the 401(k) plan resulting from periodic contributions to the plan based on payroll contribution elections. However, the blackout period restrictions and pre-clearance requirements do apply to elections made under the 401(k) plan to (i) increase or decrease the amount of contributions under the 401(k) plan if such increase or decrease will increase or decrease the amount of contributions that will be allocated to a Company stock fund, (ii) increase or decrease the percentage of contributions that will be allocated to a Company stock fund, (iii) move balances into or out of a Company stock fund, (iv) borrow money against the 401(k) plan account if the loan will result in liquidation of some or all of the Company stock fund balance, and (v) prepay a plan loan if the pre-payment will result in the allocation of loan proceeds to a Company stock fund.</w:t>
      </w:r>
    </w:p>
    <w:p>
      <w:pPr>
        <w:spacing w:after="0" w:line="169"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Estate Planning</w:t>
      </w:r>
      <w:r>
        <w:rPr>
          <w:rFonts w:ascii="Times New Roman" w:cs="Times New Roman" w:eastAsia="Times New Roman" w:hAnsi="Times New Roman"/>
          <w:sz w:val="16"/>
          <w:szCs w:val="16"/>
          <w:color w:val="auto"/>
        </w:rPr>
        <w:t>. 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the Insider’s pecuniary interest in the Company Securities.</w:t>
      </w:r>
    </w:p>
    <w:p>
      <w:pPr>
        <w:spacing w:after="0" w:line="170" w:lineRule="exact"/>
        <w:rPr>
          <w:rFonts w:ascii="Times New Roman" w:cs="Times New Roman" w:eastAsia="Times New Roman" w:hAnsi="Times New Roman"/>
          <w:sz w:val="16"/>
          <w:szCs w:val="16"/>
          <w:color w:val="auto"/>
        </w:rPr>
      </w:pPr>
    </w:p>
    <w:p>
      <w:pPr>
        <w:ind w:left="520" w:hanging="260"/>
        <w:spacing w:after="0" w:line="245" w:lineRule="auto"/>
        <w:tabs>
          <w:tab w:leader="none" w:pos="51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Splits or Dividends</w:t>
      </w:r>
      <w:r>
        <w:rPr>
          <w:rFonts w:ascii="Times New Roman" w:cs="Times New Roman" w:eastAsia="Times New Roman" w:hAnsi="Times New Roman"/>
          <w:sz w:val="16"/>
          <w:szCs w:val="16"/>
          <w:color w:val="auto"/>
        </w:rPr>
        <w:t>. Changes in the number of Company Securities held due to a stock split or a stock dividend that applies equally to all securities of a class or similar transactions.</w:t>
      </w:r>
    </w:p>
    <w:p>
      <w:pPr>
        <w:spacing w:after="0" w:line="16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6"/>
          <w:szCs w:val="16"/>
          <w:color w:val="auto"/>
        </w:rPr>
        <w:t>If there is a Regulation BTR blackout (and no quarterly or special blackout period), then the limited exceptions set forth in Regulation BTR will apply. Please be aware that even if a transaction is subject to an exception to this Policy, an Insider needs to separately assess whether the transaction complies with applicable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10B5-1 TRADING PLANS</w:t>
      </w:r>
    </w:p>
    <w:p>
      <w:pPr>
        <w:spacing w:after="0" w:line="17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w:t>
      </w:r>
    </w:p>
    <w:p>
      <w:pPr>
        <w:spacing w:after="0" w:line="15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 xml:space="preserve">To be approved by the Company, any 10b5-1 trading plan adopted by a director, officer, or employee must be submitted to the Compliance Officer for approval and comply with the requirements set forth in the Requirements Related to Rule 10b5-1 Trading Plans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If the</w:t>
      </w:r>
    </w:p>
    <w:p>
      <w:pPr>
        <w:sectPr>
          <w:pgSz w:w="11900" w:h="16838" w:orient="portrait"/>
          <w:cols w:equalWidth="0" w:num="1">
            <w:col w:w="11280"/>
          </w:cols>
          <w:pgMar w:left="300" w:top="628" w:right="3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color w:val="auto"/>
        </w:rPr>
        <w:t>Compliance Officer is the requester, then the Company’s Chief Executive Officer or Chief Financial Officer, or their delegate, must approve the written 10b5-1 trading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SECTION 16 COMPLIANCE</w:t>
      </w:r>
    </w:p>
    <w:p>
      <w:pPr>
        <w:spacing w:after="0" w:line="18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All of the Company’s executive officers, directors, and certain other individuals are required to comply with Section 16 of the Securities Exchange Act of 1934, as amended (the “</w:t>
      </w:r>
      <w:r>
        <w:rPr>
          <w:rFonts w:ascii="Times New Roman" w:cs="Times New Roman" w:eastAsia="Times New Roman" w:hAnsi="Times New Roman"/>
          <w:sz w:val="16"/>
          <w:szCs w:val="16"/>
          <w:b w:val="1"/>
          <w:bCs w:val="1"/>
          <w:u w:val="single" w:color="auto"/>
          <w:color w:val="auto"/>
        </w:rPr>
        <w:t>Securities Act</w:t>
      </w:r>
      <w:r>
        <w:rPr>
          <w:rFonts w:ascii="Times New Roman" w:cs="Times New Roman" w:eastAsia="Times New Roman" w:hAnsi="Times New Roman"/>
          <w:sz w:val="16"/>
          <w:szCs w:val="16"/>
          <w:color w:val="auto"/>
        </w:rPr>
        <w:t>”), and related rules and regulations which set forth reporting obligations, limitations on “short swing” transactions (which are certain matching purchases and sales of Company Securities within a six-month period), and limitations on short sales.</w:t>
      </w:r>
    </w:p>
    <w:p>
      <w:pPr>
        <w:spacing w:after="0" w:line="15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To ensure transactions subject to Section 16 requirements are reported on time, each person subject to these requirements must provide the Company with detailed information (e.g., trade date, number of shares, exact price, etc.) about the anticipated transaction involving Company Securities and obtain pre-clearance.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Although the Company provides reasonable assistance in filing Section 16 reports, the responsibility and liability for timely filing remains with the individual.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VIOLATIONS OF THIS POLICY</w:t>
      </w:r>
    </w:p>
    <w:p>
      <w:pPr>
        <w:spacing w:after="0" w:line="18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Insiders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5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There are also serious legal consequences for individuals who violate insider trading laws, including significant criminal and civil fines, imprisonment, and disgorgement of any profits gained or losses avoided. Individuals may also be liable for improper securities trading by any person (commonly referred to as a “tippee”) to whom an individual has disclosed Material Nonpublic information or made recommendations or expressed opinions about securities trading on the basis of such information.</w:t>
      </w:r>
    </w:p>
    <w:p>
      <w:pPr>
        <w:spacing w:after="0" w:line="15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Individuals are encouraged to consult with personal legal and financial advisors as needed. Personal financial emergency or other personal circumstances are not mitigating factors under securities laws and will not excuse the failure to comply with this Policy. It is the individual’s responsibility to manage their economic interests and to consider potential trading restrictions when determining whether to transact in Company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PROTECTED ACTIVITY NOT PROHIBITED</w:t>
      </w:r>
    </w:p>
    <w:p>
      <w:pPr>
        <w:spacing w:after="0" w:line="17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6"/>
          <w:szCs w:val="16"/>
          <w:color w:val="auto"/>
        </w:rPr>
        <w:t xml:space="preserve">Nothing in this Policy, nor any related guidelines or other documents or information provided in connection with this Policy, shall in any way limit or prohibit a person from engaging in any of the protected activities set forth in the Company’s </w:t>
      </w:r>
      <w:r>
        <w:rPr>
          <w:rFonts w:ascii="Times New Roman" w:cs="Times New Roman" w:eastAsia="Times New Roman" w:hAnsi="Times New Roman"/>
          <w:sz w:val="16"/>
          <w:szCs w:val="16"/>
          <w:b w:val="1"/>
          <w:bCs w:val="1"/>
          <w:color w:val="auto"/>
        </w:rPr>
        <w:t>Whistleblower Policy</w:t>
      </w:r>
      <w:r>
        <w:rPr>
          <w:rFonts w:ascii="Times New Roman" w:cs="Times New Roman" w:eastAsia="Times New Roman" w:hAnsi="Times New Roman"/>
          <w:sz w:val="16"/>
          <w:szCs w:val="16"/>
          <w:color w:val="auto"/>
        </w:rPr>
        <w:t>, as amended from time to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REPORTING</w:t>
      </w:r>
    </w:p>
    <w:p>
      <w:pPr>
        <w:spacing w:after="0" w:line="17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 xml:space="preserve">If an Insider believes someone is violating this Policy or otherwise using Material Nonpublic information that they learned through their position at the Company to trade securities, the Insider should report it to the Compliance Officer, or if the Compliance Officer is implicated in the Insider’s report, then the Insider should report it in accordance with the Company’s </w:t>
      </w:r>
      <w:r>
        <w:rPr>
          <w:rFonts w:ascii="Times New Roman" w:cs="Times New Roman" w:eastAsia="Times New Roman" w:hAnsi="Times New Roman"/>
          <w:sz w:val="16"/>
          <w:szCs w:val="16"/>
          <w:b w:val="1"/>
          <w:bCs w:val="1"/>
          <w:color w:val="auto"/>
        </w:rPr>
        <w:t>Whistleblower Policy</w:t>
      </w:r>
      <w:r>
        <w:rPr>
          <w:rFonts w:ascii="Times New Roman" w:cs="Times New Roman" w:eastAsia="Times New Roman" w:hAnsi="Times New Roman"/>
          <w:sz w:val="16"/>
          <w:szCs w:val="16"/>
          <w:color w:val="auto"/>
        </w:rPr>
        <w:t>. Insiders who make good faith reports will not be subject to retaliation as a result of those reports.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LIMITATION OF LIABILITY</w:t>
      </w:r>
    </w:p>
    <w:p>
      <w:pPr>
        <w:spacing w:after="0" w:line="17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Neither the Company nor its employees will be liable for any delay in reviewing, or refusal of, a request for pre-clearance submitted pursuant to this Policy. Notwithstanding any pre-clearance of a transaction, neither the Company nor any of its employees assumes any liability for the legality or consequences of such transaction or the person engaging such transaction.</w:t>
      </w:r>
    </w:p>
    <w:p>
      <w:pPr>
        <w:sectPr>
          <w:pgSz w:w="11900" w:h="16838" w:orient="portrait"/>
          <w:cols w:equalWidth="0" w:num="1">
            <w:col w:w="11280"/>
          </w:cols>
          <w:pgMar w:left="300" w:top="630" w:right="3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color w:val="auto"/>
        </w:rPr>
        <w:t>16. AMENDMENTS</w:t>
      </w:r>
    </w:p>
    <w:p>
      <w:pPr>
        <w:spacing w:after="0" w:line="179"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6"/>
          <w:szCs w:val="16"/>
          <w:color w:val="auto"/>
        </w:rPr>
        <w:t>The Company reserves the right to amend this Policy at any time, for any reason, subject to applicable laws, rules and regulations, and with or without notice. Unless otherwise permitted by this Policy, any amendments must be approved by the Board. For avoidance of doubt, any changes to the Blackout Group or Pre-Clearance Group may be made by the Compliance Officer without approval by the Board.</w:t>
      </w:r>
    </w:p>
    <w:p>
      <w:pPr>
        <w:sectPr>
          <w:pgSz w:w="11900" w:h="16838" w:orient="portrait"/>
          <w:cols w:equalWidth="0" w:num="1">
            <w:col w:w="11280"/>
          </w:cols>
          <w:pgMar w:left="300" w:top="628" w:right="31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REQUIREMENTS RELATED TO RULE 10B5-1 TRADING PLANS</w:t>
      </w:r>
    </w:p>
    <w:p>
      <w:pPr>
        <w:spacing w:after="0" w:line="187"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6"/>
          <w:szCs w:val="16"/>
          <w:color w:val="auto"/>
        </w:rPr>
        <w:t>Capitalized terms used in this Exhibit A not otherwise defined shall have the meanings assigned to such terms in the Company’s Insider Trading Policy (the “</w:t>
      </w:r>
      <w:r>
        <w:rPr>
          <w:rFonts w:ascii="Times New Roman" w:cs="Times New Roman" w:eastAsia="Times New Roman" w:hAnsi="Times New Roman"/>
          <w:sz w:val="16"/>
          <w:szCs w:val="16"/>
          <w:b w:val="1"/>
          <w:bCs w:val="1"/>
          <w:u w:val="single" w:color="auto"/>
          <w:color w:val="auto"/>
        </w:rPr>
        <w:t>Policy</w:t>
      </w:r>
      <w:r>
        <w:rPr>
          <w:rFonts w:ascii="Times New Roman" w:cs="Times New Roman" w:eastAsia="Times New Roman" w:hAnsi="Times New Roman"/>
          <w:sz w:val="16"/>
          <w:szCs w:val="16"/>
          <w:color w:val="auto"/>
        </w:rPr>
        <w:t>”). For transactions under a trading plan to be exempt from (a) the prohibitions in the Policy with respect to transactions made while aware of Material Nonpublic information and (b) the pre-clearance procedures and blackout periods established under the Policy, the trading plan must comply with the affirmative defense set forth in Rule 10b5-1 of the Securities Act and must meet the following requirements (collectively, the “</w:t>
      </w:r>
      <w:r>
        <w:rPr>
          <w:rFonts w:ascii="Times New Roman" w:cs="Times New Roman" w:eastAsia="Times New Roman" w:hAnsi="Times New Roman"/>
          <w:sz w:val="16"/>
          <w:szCs w:val="16"/>
          <w:b w:val="1"/>
          <w:bCs w:val="1"/>
          <w:u w:val="single" w:color="auto"/>
          <w:color w:val="auto"/>
        </w:rPr>
        <w:t>Trading Plan Requirements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520" w:hanging="260"/>
        <w:spacing w:after="0"/>
        <w:tabs>
          <w:tab w:leader="none" w:pos="5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must be in writing and signed by the person adopting the trading plan.</w:t>
      </w:r>
    </w:p>
    <w:p>
      <w:pPr>
        <w:spacing w:after="0" w:line="17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must be adopted at a time when:</w:t>
      </w:r>
    </w:p>
    <w:p>
      <w:pPr>
        <w:spacing w:after="0" w:line="176"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adopting the trading plan is not aware of any material nonpublic information; and</w:t>
      </w:r>
    </w:p>
    <w:p>
      <w:pPr>
        <w:spacing w:after="0" w:line="187"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quarterly, special, or other trading blackout in effect with respect to the person adopting the plan.</w:t>
      </w:r>
    </w:p>
    <w:p>
      <w:pPr>
        <w:spacing w:after="0" w:line="176" w:lineRule="exact"/>
        <w:rPr>
          <w:rFonts w:ascii="Times New Roman" w:cs="Times New Roman" w:eastAsia="Times New Roman" w:hAnsi="Times New Roman"/>
          <w:sz w:val="16"/>
          <w:szCs w:val="16"/>
          <w:color w:val="auto"/>
        </w:rPr>
      </w:pPr>
    </w:p>
    <w:p>
      <w:pPr>
        <w:ind w:left="520" w:hanging="260"/>
        <w:spacing w:after="0" w:line="259" w:lineRule="auto"/>
        <w:tabs>
          <w:tab w:leader="none" w:pos="57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must be entered in good faith and not as part of a plan or scheme to evade or circumvent the prohibitions of Rule 10b5-1, and the person adopting the trading plan must act in good faith with respect to the trading plan.</w:t>
      </w:r>
    </w:p>
    <w:p>
      <w:pPr>
        <w:spacing w:after="0" w:line="143"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must include representations that, on the date of adoption of the trading plan, the person adopting the trading plan:</w:t>
      </w:r>
    </w:p>
    <w:p>
      <w:pPr>
        <w:spacing w:after="0" w:line="17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aware of material nonpublic information about the Company Securities; and</w:t>
      </w:r>
    </w:p>
    <w:p>
      <w:pPr>
        <w:spacing w:after="0" w:line="187"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adopting the trading plan in good faith and not as part of a plan or scheme to evade the prohibitions of Rule 10b5-1.</w:t>
      </w:r>
    </w:p>
    <w:p>
      <w:pPr>
        <w:spacing w:after="0" w:line="176" w:lineRule="exact"/>
        <w:rPr>
          <w:rFonts w:ascii="Times New Roman" w:cs="Times New Roman" w:eastAsia="Times New Roman" w:hAnsi="Times New Roman"/>
          <w:sz w:val="16"/>
          <w:szCs w:val="16"/>
          <w:color w:val="auto"/>
        </w:rPr>
      </w:pPr>
    </w:p>
    <w:p>
      <w:pPr>
        <w:ind w:left="520" w:hanging="260"/>
        <w:spacing w:after="0" w:line="259" w:lineRule="auto"/>
        <w:tabs>
          <w:tab w:leader="none" w:pos="54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adopting the trading plan may not have entered into or altered a corresponding or hedging transaction or position with respect to the Company Securities subject to the trading plan and must agree not to enter into any such transaction while the trading plan is in effect.</w:t>
      </w:r>
    </w:p>
    <w:p>
      <w:pPr>
        <w:spacing w:after="0" w:line="143"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5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trade under the trading plan for directors and officers (as defined in Rule 16a-1(f) of the Securities Act) may not occur until the expiration of a cooling-off period consisting of the later of (a) ninety (90) calendar days after the adoption of the trading plan, and (b) two (2) business days after the filing by the Company of its financial results in a Form 10-Q or Form 10-K for the completed fiscal quarter in which the trading plan was adopted (but, in any event, this required cooling-off period is subject to a maximum of 120 calendar days after adoption of the trading plan). The first trade under the trading plan for all other persons (other than the Company) may not occur until the expiration of a cooling-off period that is thirty (30) calendar days after the adoption of the trading plan.</w:t>
      </w:r>
    </w:p>
    <w:p>
      <w:pPr>
        <w:spacing w:after="0" w:line="160" w:lineRule="exact"/>
        <w:rPr>
          <w:rFonts w:ascii="Times New Roman" w:cs="Times New Roman" w:eastAsia="Times New Roman" w:hAnsi="Times New Roman"/>
          <w:sz w:val="16"/>
          <w:szCs w:val="16"/>
          <w:color w:val="auto"/>
        </w:rPr>
      </w:pPr>
    </w:p>
    <w:p>
      <w:pPr>
        <w:ind w:left="420" w:hanging="160"/>
        <w:spacing w:after="0"/>
        <w:tabs>
          <w:tab w:leader="none" w:pos="4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must have an expiration date that is at least six (6) months but not more than eighteen (18) months from the date of adoption of the trading plan.</w:t>
      </w:r>
    </w:p>
    <w:p>
      <w:pPr>
        <w:spacing w:after="0" w:line="187" w:lineRule="exact"/>
        <w:rPr>
          <w:rFonts w:ascii="Times New Roman" w:cs="Times New Roman" w:eastAsia="Times New Roman" w:hAnsi="Times New Roman"/>
          <w:sz w:val="16"/>
          <w:szCs w:val="16"/>
          <w:color w:val="auto"/>
        </w:rPr>
      </w:pPr>
    </w:p>
    <w:p>
      <w:pPr>
        <w:jc w:val="both"/>
        <w:ind w:left="520" w:hanging="260"/>
        <w:spacing w:after="0"/>
        <w:tabs>
          <w:tab w:leader="none" w:pos="54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transactions may occur during the term of the trading plan (except for the “Limited Exceptions” identified in Section 9 of the Policy and bona fide gifts) except for those transactions specified in the trading plan. In addition, the person adopting the trading plan may not have an outstanding (and may not subsequently enter into any additional) trading plan except as permitted</w:t>
      </w:r>
    </w:p>
    <w:p>
      <w:pPr>
        <w:sectPr>
          <w:pgSz w:w="11900" w:h="16838" w:orient="portrait"/>
          <w:cols w:equalWidth="0" w:num="1">
            <w:col w:w="11280"/>
          </w:cols>
          <w:pgMar w:left="300" w:top="883" w:right="319" w:bottom="1440" w:gutter="0" w:footer="0" w:header="0"/>
        </w:sectPr>
      </w:pPr>
    </w:p>
    <w:bookmarkStart w:id="257" w:name="page258"/>
    <w:bookmarkEnd w:id="257"/>
    <w:p>
      <w:pPr>
        <w:jc w:val="both"/>
        <w:ind w:left="260"/>
        <w:spacing w:after="0" w:line="235" w:lineRule="auto"/>
        <w:rPr>
          <w:sz w:val="20"/>
          <w:szCs w:val="20"/>
          <w:color w:val="auto"/>
        </w:rPr>
      </w:pPr>
      <w:r>
        <w:rPr>
          <w:rFonts w:ascii="Times New Roman" w:cs="Times New Roman" w:eastAsia="Times New Roman" w:hAnsi="Times New Roman"/>
          <w:sz w:val="16"/>
          <w:szCs w:val="16"/>
          <w:color w:val="auto"/>
        </w:rPr>
        <w:t>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spacing w:after="0" w:line="160" w:lineRule="exact"/>
        <w:rPr>
          <w:sz w:val="20"/>
          <w:szCs w:val="20"/>
          <w:color w:val="auto"/>
        </w:rPr>
      </w:pPr>
    </w:p>
    <w:p>
      <w:pPr>
        <w:jc w:val="both"/>
        <w:ind w:left="260" w:hanging="260"/>
        <w:spacing w:after="0"/>
        <w:tabs>
          <w:tab w:leader="none" w:pos="29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modification or change to the amount, price or timing of transactions under the trading plan is deemed the termination of the trading plan, and the adoption of a new trading plan (a “Modification”). Therefore, a Modification must be submitted to the Compliance Officer for approval in accordance with the Policy and this Exhibit A and is subject to the same conditions as a new trading plan as set forth in this Exhibit A.</w:t>
      </w:r>
    </w:p>
    <w:p>
      <w:pPr>
        <w:spacing w:after="0" w:line="15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one year preceding the adoption or a Modification of a trading plan, a person may not have otherwise adopted or made a Modification to a plan more than once.</w:t>
      </w:r>
    </w:p>
    <w:p>
      <w:pPr>
        <w:spacing w:after="0" w:line="210" w:lineRule="exact"/>
        <w:rPr>
          <w:rFonts w:ascii="Times New Roman" w:cs="Times New Roman" w:eastAsia="Times New Roman" w:hAnsi="Times New Roman"/>
          <w:sz w:val="14"/>
          <w:szCs w:val="14"/>
          <w:color w:val="auto"/>
        </w:rPr>
      </w:pPr>
    </w:p>
    <w:p>
      <w:pPr>
        <w:ind w:left="340" w:hanging="340"/>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may adopt a trading plan designed to cover a single trade only once in any consecutive 12-month period except as permitted by Rule 10b5-1.</w:t>
      </w:r>
    </w:p>
    <w:p>
      <w:pPr>
        <w:spacing w:after="0" w:line="176" w:lineRule="exact"/>
        <w:rPr>
          <w:rFonts w:ascii="Times New Roman" w:cs="Times New Roman" w:eastAsia="Times New Roman" w:hAnsi="Times New Roman"/>
          <w:sz w:val="16"/>
          <w:szCs w:val="16"/>
          <w:color w:val="auto"/>
        </w:rPr>
      </w:pPr>
    </w:p>
    <w:p>
      <w:pPr>
        <w:ind w:left="260" w:hanging="260"/>
        <w:spacing w:after="0" w:line="259" w:lineRule="auto"/>
        <w:tabs>
          <w:tab w:leader="none" w:pos="37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person that adopted the trading plan terminates the plan prior to its stated duration, they may not trade in Company Securities until after the expiration of thirty (30) calendar days following termination and then only in accordance with the Policy.</w:t>
      </w:r>
    </w:p>
    <w:p>
      <w:pPr>
        <w:spacing w:after="0" w:line="143"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be promptly notified of any modification or termination of the trading plan, including any suspension of trading under the trading plan.</w:t>
      </w:r>
    </w:p>
    <w:p>
      <w:pPr>
        <w:spacing w:after="0" w:line="176" w:lineRule="exact"/>
        <w:rPr>
          <w:rFonts w:ascii="Times New Roman" w:cs="Times New Roman" w:eastAsia="Times New Roman" w:hAnsi="Times New Roman"/>
          <w:sz w:val="16"/>
          <w:szCs w:val="16"/>
          <w:color w:val="auto"/>
        </w:rPr>
      </w:pPr>
    </w:p>
    <w:p>
      <w:pPr>
        <w:jc w:val="both"/>
        <w:ind w:left="260" w:hanging="260"/>
        <w:spacing w:after="0"/>
        <w:tabs>
          <w:tab w:leader="none" w:pos="38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69"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trading plan grants discretion to a stockbroker or other person with respect to the execution of trades under the trading plan:</w:t>
      </w:r>
    </w:p>
    <w:p>
      <w:pPr>
        <w:spacing w:after="0" w:line="176" w:lineRule="exact"/>
        <w:rPr>
          <w:rFonts w:ascii="Times New Roman" w:cs="Times New Roman" w:eastAsia="Times New Roman" w:hAnsi="Times New Roman"/>
          <w:sz w:val="16"/>
          <w:szCs w:val="16"/>
          <w:color w:val="auto"/>
        </w:rPr>
      </w:pPr>
    </w:p>
    <w:p>
      <w:pPr>
        <w:ind w:left="760" w:hanging="251"/>
        <w:spacing w:after="0"/>
        <w:tabs>
          <w:tab w:leader="none" w:pos="76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adopting the trading plan may not exercise any subsequent influence over how, when or whether to effect purchases or sales under the plan;</w:t>
      </w:r>
    </w:p>
    <w:p>
      <w:pPr>
        <w:spacing w:after="0" w:line="187" w:lineRule="exact"/>
        <w:rPr>
          <w:rFonts w:ascii="Times New Roman" w:cs="Times New Roman" w:eastAsia="Times New Roman" w:hAnsi="Times New Roman"/>
          <w:sz w:val="16"/>
          <w:szCs w:val="16"/>
          <w:color w:val="auto"/>
        </w:rPr>
      </w:pPr>
    </w:p>
    <w:p>
      <w:pPr>
        <w:ind w:left="660" w:hanging="151"/>
        <w:spacing w:after="0"/>
        <w:tabs>
          <w:tab w:leader="none" w:pos="66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adopting the trading plan may not confer with the person administering the trading plan regarding the Company or Company Securities; and</w:t>
      </w:r>
    </w:p>
    <w:p>
      <w:pPr>
        <w:spacing w:after="0" w:line="176" w:lineRule="exact"/>
        <w:rPr>
          <w:rFonts w:ascii="Times New Roman" w:cs="Times New Roman" w:eastAsia="Times New Roman" w:hAnsi="Times New Roman"/>
          <w:sz w:val="16"/>
          <w:szCs w:val="16"/>
          <w:color w:val="auto"/>
        </w:rPr>
      </w:pPr>
    </w:p>
    <w:p>
      <w:pPr>
        <w:ind w:left="660" w:hanging="151"/>
        <w:spacing w:after="0"/>
        <w:tabs>
          <w:tab w:leader="none" w:pos="66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administering the trading plan must provide prompt notice to the Company of the execution of a transaction pursuant to the plan.</w:t>
      </w:r>
    </w:p>
    <w:p>
      <w:pPr>
        <w:spacing w:after="0" w:line="176"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transactions under the trading plan must be in accordance with applicable law.</w:t>
      </w:r>
    </w:p>
    <w:p>
      <w:pPr>
        <w:spacing w:after="0" w:line="187" w:lineRule="exact"/>
        <w:rPr>
          <w:rFonts w:ascii="Times New Roman" w:cs="Times New Roman" w:eastAsia="Times New Roman" w:hAnsi="Times New Roman"/>
          <w:sz w:val="16"/>
          <w:szCs w:val="16"/>
          <w:color w:val="auto"/>
        </w:rPr>
      </w:pPr>
    </w:p>
    <w:p>
      <w:pPr>
        <w:jc w:val="both"/>
        <w:ind w:left="260" w:hanging="260"/>
        <w:spacing w:after="0"/>
        <w:tabs>
          <w:tab w:leader="none" w:pos="352"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exceptions to the Trading Plan Requirements must be approved by the Compliance Officer or, in the case of directors and officers who are subject to Section 16 of the Securities Act, by the Compliance Officer, in consultation with the Board, Chairperson of the Board, an independent committee of the Board, or the chair of such independent committee.</w:t>
      </w:r>
    </w:p>
    <w:p>
      <w:pPr>
        <w:spacing w:after="0" w:line="158" w:lineRule="exact"/>
        <w:rPr>
          <w:rFonts w:ascii="Times New Roman" w:cs="Times New Roman" w:eastAsia="Times New Roman" w:hAnsi="Times New Roman"/>
          <w:sz w:val="16"/>
          <w:szCs w:val="16"/>
          <w:color w:val="auto"/>
        </w:rPr>
      </w:pPr>
    </w:p>
    <w:p>
      <w:pPr>
        <w:ind w:left="340" w:hanging="340"/>
        <w:spacing w:after="0"/>
        <w:tabs>
          <w:tab w:leader="none" w:pos="34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plan (including any Modification) must meet such other requirements as the Compliance Officer may determine.</w:t>
      </w:r>
    </w:p>
    <w:p>
      <w:pPr>
        <w:sectPr>
          <w:pgSz w:w="11900" w:h="16838" w:orient="portrait"/>
          <w:cols w:equalWidth="0" w:num="1">
            <w:col w:w="11020"/>
          </w:cols>
          <w:pgMar w:left="560" w:top="884" w:right="3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40" w:type="dxa"/>
            <w:vAlign w:val="bottom"/>
            <w:gridSpan w:val="2"/>
          </w:tcPr>
          <w:p>
            <w:pPr>
              <w:jc w:val="center"/>
              <w:ind w:right="29"/>
              <w:spacing w:after="0"/>
              <w:rPr>
                <w:sz w:val="20"/>
                <w:szCs w:val="20"/>
                <w:color w:val="auto"/>
              </w:rPr>
            </w:pPr>
            <w:r>
              <w:rPr>
                <w:rFonts w:ascii="Times New Roman" w:cs="Times New Roman" w:eastAsia="Times New Roman" w:hAnsi="Times New Roman"/>
                <w:sz w:val="17"/>
                <w:szCs w:val="17"/>
                <w:b w:val="1"/>
                <w:bCs w:val="1"/>
                <w:color w:val="auto"/>
                <w:w w:val="99"/>
              </w:rPr>
              <w:t>SONDER HOLDINGS INC.</w:t>
            </w:r>
          </w:p>
        </w:tc>
      </w:tr>
      <w:tr>
        <w:trPr>
          <w:trHeight w:val="202"/>
        </w:trPr>
        <w:tc>
          <w:tcPr>
            <w:tcW w:w="1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40" w:type="dxa"/>
            <w:vAlign w:val="bottom"/>
            <w:gridSpan w:val="2"/>
          </w:tcPr>
          <w:p>
            <w:pPr>
              <w:jc w:val="center"/>
              <w:ind w:right="49"/>
              <w:spacing w:after="0"/>
              <w:rPr>
                <w:sz w:val="20"/>
                <w:szCs w:val="20"/>
                <w:color w:val="auto"/>
              </w:rPr>
            </w:pPr>
            <w:r>
              <w:rPr>
                <w:rFonts w:ascii="Times New Roman" w:cs="Times New Roman" w:eastAsia="Times New Roman" w:hAnsi="Times New Roman"/>
                <w:sz w:val="17"/>
                <w:szCs w:val="17"/>
                <w:b w:val="1"/>
                <w:bCs w:val="1"/>
                <w:color w:val="auto"/>
                <w:w w:val="99"/>
              </w:rPr>
              <w:t>SUBSIDIARIES</w:t>
            </w:r>
          </w:p>
        </w:tc>
      </w:tr>
      <w:tr>
        <w:trPr>
          <w:trHeight w:val="223"/>
        </w:trPr>
        <w:tc>
          <w:tcPr>
            <w:tcW w:w="1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40" w:type="dxa"/>
            <w:vAlign w:val="bottom"/>
            <w:gridSpan w:val="2"/>
          </w:tcPr>
          <w:p>
            <w:pPr>
              <w:jc w:val="center"/>
              <w:ind w:right="29"/>
              <w:spacing w:after="0"/>
              <w:rPr>
                <w:sz w:val="20"/>
                <w:szCs w:val="20"/>
                <w:color w:val="auto"/>
              </w:rPr>
            </w:pPr>
            <w:r>
              <w:rPr>
                <w:rFonts w:ascii="Times New Roman" w:cs="Times New Roman" w:eastAsia="Times New Roman" w:hAnsi="Times New Roman"/>
                <w:sz w:val="17"/>
                <w:szCs w:val="17"/>
                <w:b w:val="1"/>
                <w:bCs w:val="1"/>
                <w:color w:val="auto"/>
                <w:w w:val="99"/>
              </w:rPr>
              <w:t>As of December 31, 2024</w:t>
            </w:r>
          </w:p>
        </w:tc>
      </w:tr>
      <w:tr>
        <w:trPr>
          <w:trHeight w:val="364"/>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 Incorporation</w:t>
            </w:r>
          </w:p>
        </w:tc>
      </w:tr>
      <w:tr>
        <w:trPr>
          <w:trHeight w:val="188"/>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Sonder Europe Ltd.</w:t>
            </w:r>
          </w:p>
        </w:tc>
        <w:tc>
          <w:tcPr>
            <w:tcW w:w="1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France</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France</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Group B.V.</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Group Holdings LLC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Delaware, USA</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Holdings LLC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Delaware, USA</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Holiday Homes LLC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Dubai, United Arab Emirates</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Hospitality UK Ltd</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Hospitality USA Inc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Delaware, USA</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International Holdings Ltd</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Italy S.r.l.</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Italy</w:t>
            </w:r>
          </w:p>
        </w:tc>
      </w:tr>
      <w:tr>
        <w:trPr>
          <w:trHeight w:val="18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Technology Inc.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Delaware, USA</w:t>
            </w:r>
          </w:p>
        </w:tc>
      </w:tr>
      <w:tr>
        <w:trPr>
          <w:trHeight w:val="184"/>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Sonder USA Inc.</w:t>
            </w:r>
          </w:p>
        </w:tc>
        <w:tc>
          <w:tcPr>
            <w:tcW w:w="4840" w:type="dxa"/>
            <w:vAlign w:val="bottom"/>
            <w:gridSpan w:val="2"/>
          </w:tcPr>
          <w:p>
            <w:pPr>
              <w:ind w:left="2180"/>
              <w:spacing w:after="0"/>
              <w:rPr>
                <w:sz w:val="20"/>
                <w:szCs w:val="20"/>
                <w:color w:val="auto"/>
              </w:rPr>
            </w:pPr>
            <w:r>
              <w:rPr>
                <w:rFonts w:ascii="Times New Roman" w:cs="Times New Roman" w:eastAsia="Times New Roman" w:hAnsi="Times New Roman"/>
                <w:sz w:val="14"/>
                <w:szCs w:val="14"/>
                <w:color w:val="auto"/>
              </w:rPr>
              <w:t>Delaware, USA</w:t>
            </w:r>
          </w:p>
        </w:tc>
      </w:tr>
    </w:tbl>
    <w:p>
      <w:pPr>
        <w:spacing w:after="0" w:line="24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Pursuant to Item 601(b)(21)(ii) of Regulation S-K, the names of other subsidiaries of Sonder Holdings Inc. are omitted because, considered in the aggregate, they would not constitute a significant subsidiary as of the end of latest fiscal year.</w:t>
      </w:r>
    </w:p>
    <w:p>
      <w:pPr>
        <w:sectPr>
          <w:pgSz w:w="11900" w:h="16838" w:orient="portrait"/>
          <w:cols w:equalWidth="0" w:num="1">
            <w:col w:w="11280"/>
          </w:cols>
          <w:pgMar w:left="300" w:top="123" w:right="31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jc w:val="both"/>
        <w:ind w:right="120"/>
        <w:spacing w:after="0" w:line="295" w:lineRule="auto"/>
        <w:rPr>
          <w:sz w:val="20"/>
          <w:szCs w:val="20"/>
          <w:color w:val="auto"/>
        </w:rPr>
      </w:pPr>
      <w:r>
        <w:rPr>
          <w:rFonts w:ascii="Times New Roman" w:cs="Times New Roman" w:eastAsia="Times New Roman" w:hAnsi="Times New Roman"/>
          <w:sz w:val="16"/>
          <w:szCs w:val="16"/>
          <w:color w:val="auto"/>
          <w:highlight w:val="yellow"/>
        </w:rPr>
        <w:t>We consent to the incorporation by reference in Registration Statement Nos. 333-263914, 333-274200, and 333- 270705 on Form S-8 and Registration Statement No. 333-262438 on Form S-3 of our report dated September 26, 2024, relating to the financial statements of Sonder Holdings Inc. appearing in this Annual Report on Form 10-K for the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highlight w:val="yellow"/>
        </w:rPr>
        <w:t>May 30, 2025</w:t>
      </w:r>
    </w:p>
    <w:p>
      <w:pPr>
        <w:sectPr>
          <w:pgSz w:w="11900" w:h="16838" w:orient="portrait"/>
          <w:cols w:equalWidth="0" w:num="1">
            <w:col w:w="11280"/>
          </w:cols>
          <w:pgMar w:left="300" w:top="745" w:right="31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Janice Sears, certify that:</w:t>
      </w:r>
    </w:p>
    <w:p>
      <w:pPr>
        <w:spacing w:after="0" w:line="94" w:lineRule="exact"/>
        <w:rPr>
          <w:sz w:val="20"/>
          <w:szCs w:val="20"/>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Sonder Holdings Inc. (the “Registrant”);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520" w:hanging="260"/>
        <w:spacing w:after="0" w:line="161" w:lineRule="exact"/>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w:t>
      </w:r>
    </w:p>
    <w:p>
      <w:pPr>
        <w:spacing w:after="0" w:line="56" w:lineRule="exact"/>
        <w:rPr>
          <w:rFonts w:ascii="Times New Roman" w:cs="Times New Roman" w:eastAsia="Times New Roman" w:hAnsi="Times New Roman"/>
          <w:sz w:val="14"/>
          <w:szCs w:val="14"/>
          <w:color w:val="auto"/>
        </w:rPr>
      </w:pPr>
    </w:p>
    <w:p>
      <w:pPr>
        <w:ind w:left="520"/>
        <w:spacing w:after="0" w:line="16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 July 23, 2025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Janice Sears</w:t>
            </w:r>
          </w:p>
        </w:tc>
      </w:tr>
      <w:tr>
        <w:trPr>
          <w:trHeight w:val="167"/>
        </w:trPr>
        <w:tc>
          <w:tcPr>
            <w:tcW w:w="4340" w:type="dxa"/>
            <w:vAlign w:val="bottom"/>
            <w:tcBorders>
              <w:top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Janice Sears</w:t>
            </w:r>
          </w:p>
        </w:tc>
      </w:tr>
      <w:tr>
        <w:trPr>
          <w:trHeight w:val="180"/>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87" w:right="3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Hughes, certify that:</w:t>
      </w:r>
    </w:p>
    <w:p>
      <w:pPr>
        <w:spacing w:after="0" w:line="94" w:lineRule="exact"/>
        <w:rPr>
          <w:sz w:val="20"/>
          <w:szCs w:val="20"/>
          <w:color w:val="auto"/>
        </w:rPr>
      </w:pPr>
    </w:p>
    <w:p>
      <w:pPr>
        <w:ind w:left="520" w:hanging="260"/>
        <w:spacing w:after="0"/>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Sonder Holdings Inc. (the “Registrant”);</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520" w:hanging="260"/>
        <w:spacing w:after="0" w:line="161" w:lineRule="exact"/>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w:t>
      </w:r>
    </w:p>
    <w:p>
      <w:pPr>
        <w:spacing w:after="0" w:line="56" w:lineRule="exact"/>
        <w:rPr>
          <w:rFonts w:ascii="Times New Roman" w:cs="Times New Roman" w:eastAsia="Times New Roman" w:hAnsi="Times New Roman"/>
          <w:sz w:val="14"/>
          <w:szCs w:val="14"/>
          <w:color w:val="auto"/>
        </w:rPr>
      </w:pPr>
    </w:p>
    <w:p>
      <w:pPr>
        <w:ind w:left="520"/>
        <w:spacing w:after="0" w:line="161"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 July 23, 2025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Michael Hughes</w:t>
            </w:r>
          </w:p>
        </w:tc>
      </w:tr>
      <w:tr>
        <w:trPr>
          <w:trHeight w:val="175"/>
        </w:trPr>
        <w:tc>
          <w:tcPr>
            <w:tcW w:w="4340" w:type="dxa"/>
            <w:vAlign w:val="bottom"/>
            <w:tcBorders>
              <w:top w:val="single" w:sz="8" w:color="auto"/>
            </w:tcBorders>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Michael Hughes</w:t>
            </w:r>
          </w:p>
        </w:tc>
      </w:tr>
      <w:tr>
        <w:trPr>
          <w:trHeight w:val="258"/>
        </w:trPr>
        <w:tc>
          <w:tcPr>
            <w:tcW w:w="43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823"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Sonder Holdings Inc. (the “Registrant”) for the year ended December 31, 2024, as filed with the Securities and Exchange Commission on the date hereof (the “Report”), I, Janice Sears, Interim Chief Executive Officer of the Registrant, hereby certify pursuant to 18 U.S.C. Section 1350, as adopted pursuant to Section 906 of the Sarbanes-Oxley Act of 2002, that:</w:t>
      </w:r>
    </w:p>
    <w:p>
      <w:pPr>
        <w:spacing w:after="0" w:line="157" w:lineRule="exact"/>
        <w:rPr>
          <w:sz w:val="20"/>
          <w:szCs w:val="20"/>
          <w:color w:val="auto"/>
        </w:rPr>
      </w:pPr>
    </w:p>
    <w:p>
      <w:pPr>
        <w:ind w:left="520" w:hanging="260"/>
        <w:spacing w:after="0"/>
        <w:tabs>
          <w:tab w:leader="none" w:pos="5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 July 23, 2025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Janice Sears</w:t>
            </w:r>
          </w:p>
        </w:tc>
      </w:tr>
      <w:tr>
        <w:trPr>
          <w:trHeight w:val="167"/>
        </w:trPr>
        <w:tc>
          <w:tcPr>
            <w:tcW w:w="4340" w:type="dxa"/>
            <w:vAlign w:val="bottom"/>
            <w:tcBorders>
              <w:top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Janice Sears</w:t>
            </w:r>
          </w:p>
        </w:tc>
      </w:tr>
      <w:tr>
        <w:trPr>
          <w:trHeight w:val="180"/>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Executive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1141" w:right="31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Sonder Holdings Inc. (the “Registrant”) for the year ended December 31, 2024, as filed with the Securities and Exchange Commission on the date hereof (the “Report”), I, Michael Hughes, Chief Financial Officer of the Registrant, hereby certify pursuant to 18 U.S.C. Section 1350, as adopted pursuant to Section 906 of the Sarbanes-Oxley Act of 2002, that:</w:t>
      </w:r>
    </w:p>
    <w:p>
      <w:pPr>
        <w:spacing w:after="0" w:line="157" w:lineRule="exact"/>
        <w:rPr>
          <w:sz w:val="20"/>
          <w:szCs w:val="20"/>
          <w:color w:val="auto"/>
        </w:rPr>
      </w:pPr>
    </w:p>
    <w:p>
      <w:pPr>
        <w:ind w:left="520" w:hanging="260"/>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Date:July 23, 2025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Michael Hughes</w:t>
            </w:r>
          </w:p>
        </w:tc>
      </w:tr>
      <w:tr>
        <w:trPr>
          <w:trHeight w:val="167"/>
        </w:trPr>
        <w:tc>
          <w:tcPr>
            <w:tcW w:w="4340" w:type="dxa"/>
            <w:vAlign w:val="bottom"/>
            <w:tcBorders>
              <w:top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Michael Hughes</w:t>
            </w:r>
          </w:p>
        </w:tc>
      </w:tr>
      <w:tr>
        <w:trPr>
          <w:trHeight w:val="180"/>
        </w:trPr>
        <w:tc>
          <w:tcPr>
            <w:tcW w:w="4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lvl w:ilvl="1">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lvl w:ilvl="1">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1)"/>
      <w:numFmt w:val="decimal"/>
      <w:start w:val="1"/>
    </w:lvl>
  </w:abstractNum>
  <w:abstractNum w:abstractNumId="32">
    <w:nsid w:val="4962813B"/>
    <w:multiLevelType w:val="hybridMultilevel"/>
    <w:lvl w:ilvl="0">
      <w:lvlJc w:val="left"/>
      <w:lvlText w:val="(%1)"/>
      <w:numFmt w:val="lowerRoman"/>
      <w:start w:val="4"/>
    </w:lvl>
  </w:abstractNum>
  <w:abstractNum w:abstractNumId="33">
    <w:nsid w:val="60B6DF70"/>
    <w:multiLevelType w:val="hybridMultilevel"/>
    <w:lvl w:ilvl="0">
      <w:lvlJc w:val="left"/>
      <w:lvlText w:val="(%1)"/>
      <w:numFmt w:val="lowerRoman"/>
      <w:start w:val="2"/>
    </w:lvl>
  </w:abstractNum>
  <w:abstractNum w:abstractNumId="34">
    <w:nsid w:val="6A5EE64"/>
    <w:multiLevelType w:val="hybridMultilevel"/>
    <w:lvl w:ilvl="0">
      <w:lvlJc w:val="left"/>
      <w:lvlText w:val="(%1)"/>
      <w:numFmt w:val="lowerRoman"/>
      <w:start w:val="2"/>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1)"/>
      <w:numFmt w:val="decimal"/>
      <w:start w:val="1"/>
    </w:lvl>
  </w:abstractNum>
  <w:abstractNum w:abstractNumId="43">
    <w:nsid w:val="94211F2"/>
    <w:multiLevelType w:val="hybridMultilevel"/>
    <w:lvl w:ilvl="0">
      <w:lvlJc w:val="left"/>
      <w:lvlText w:val="(%1)"/>
      <w:numFmt w:val="decimal"/>
      <w:start w:val="1"/>
    </w:lvl>
  </w:abstractNum>
  <w:abstractNum w:abstractNumId="44">
    <w:nsid w:val="885E1B"/>
    <w:multiLevelType w:val="hybridMultilevel"/>
    <w:lvl w:ilvl="0">
      <w:lvlJc w:val="left"/>
      <w:lvlText w:val="(%1)"/>
      <w:numFmt w:val="decimal"/>
      <w:start w:val="5"/>
    </w:lvl>
  </w:abstractNum>
  <w:abstractNum w:abstractNumId="45">
    <w:nsid w:val="76272110"/>
    <w:multiLevelType w:val="hybridMultilevel"/>
    <w:lvl w:ilvl="0">
      <w:lvlJc w:val="left"/>
      <w:lvlText w:val="(%1)"/>
      <w:numFmt w:val="decimal"/>
      <w:start w:val="23"/>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1)"/>
      <w:numFmt w:val="decimal"/>
      <w:start w:val="2"/>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1)"/>
      <w:numFmt w:val="decimal"/>
      <w:start w:val="5"/>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lowerLetter"/>
      <w:start w:val="2"/>
    </w:lvl>
  </w:abstractNum>
  <w:abstractNum w:abstractNumId="58">
    <w:nsid w:val="43F18422"/>
    <w:multiLevelType w:val="hybridMultilevel"/>
    <w:lvl w:ilvl="0">
      <w:lvlJc w:val="left"/>
      <w:lvlText w:val="%1"/>
      <w:numFmt w:val="decimal"/>
      <w:start w:val="104"/>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Roman"/>
      <w:start w:val="1"/>
    </w:lvl>
  </w:abstractNum>
  <w:abstractNum w:abstractNumId="76">
    <w:nsid w:val="555C55B5"/>
    <w:multiLevelType w:val="hybridMultilevel"/>
    <w:lvl w:ilvl="0">
      <w:lvlJc w:val="left"/>
      <w:lvlText w:val="(%1)"/>
      <w:numFmt w:val="lowerRoman"/>
      <w:start w:val="7"/>
    </w:lvl>
  </w:abstractNum>
  <w:abstractNum w:abstractNumId="77">
    <w:nsid w:val="3FA62ACA"/>
    <w:multiLevelType w:val="hybridMultilevel"/>
    <w:lvl w:ilvl="0">
      <w:lvlJc w:val="left"/>
      <w:lvlText w:val="%1."/>
      <w:numFmt w:val="decimal"/>
      <w:start w:val="1"/>
    </w:lvl>
    <w:lvl w:ilvl="1">
      <w:lvlJc w:val="left"/>
      <w:lvlText w:val="(%2)"/>
      <w:numFmt w:val="lowerLetter"/>
      <w:start w:val="1"/>
    </w:lvl>
  </w:abstractNum>
  <w:abstractNum w:abstractNumId="78">
    <w:nsid w:val="14FCE74E"/>
    <w:multiLevelType w:val="hybridMultilevel"/>
    <w:lvl w:ilvl="0">
      <w:lvlJc w:val="left"/>
      <w:lvlText w:val="(%1)"/>
      <w:numFmt w:val="lowerLetter"/>
      <w:start w:val="2"/>
    </w:lvl>
    <w:lvl w:ilvl="1">
      <w:lvlJc w:val="left"/>
      <w:lvlText w:val="(%2)"/>
      <w:numFmt w:val="lowerRoman"/>
      <w:start w:val="1"/>
    </w:lvl>
  </w:abstractNum>
  <w:abstractNum w:abstractNumId="79">
    <w:nsid w:val="6A3DD3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0">
    <w:nsid w:val="71C91298"/>
    <w:multiLevelType w:val="hybridMultilevel"/>
    <w:lvl w:ilvl="0">
      <w:lvlJc w:val="left"/>
      <w:lvlText w:val="%1"/>
      <w:numFmt w:val="lowerRoman"/>
      <w:start w:val="1"/>
    </w:lvl>
    <w:lvl w:ilvl="1">
      <w:lvlJc w:val="left"/>
      <w:lvlText w:val="(%2)"/>
      <w:numFmt w:val="lowerRoman"/>
      <w:start w:val="1"/>
    </w:lvl>
  </w:abstractNum>
  <w:abstractNum w:abstractNumId="81">
    <w:nsid w:val="9DAF632"/>
    <w:multiLevelType w:val="hybridMultilevel"/>
    <w:lvl w:ilvl="0">
      <w:lvlJc w:val="left"/>
      <w:lvlText w:val="(%1)"/>
      <w:numFmt w:val="lowerRoman"/>
      <w:start w:val="2"/>
    </w:lvl>
    <w:lvl w:ilvl="1">
      <w:lvlJc w:val="left"/>
      <w:lvlText w:val="%2"/>
      <w:numFmt w:val="lowerRoman"/>
      <w:start w:val="1"/>
    </w:lvl>
  </w:abstractNum>
  <w:abstractNum w:abstractNumId="82">
    <w:nsid w:val="5329993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3">
    <w:nsid w:val="1FBFE8E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4">
    <w:nsid w:val="5092CA79"/>
    <w:multiLevelType w:val="hybridMultilevel"/>
    <w:lvl w:ilvl="0">
      <w:lvlJc w:val="left"/>
      <w:lvlText w:val="%1"/>
      <w:numFmt w:val="decimal"/>
      <w:start w:val="1"/>
    </w:lvl>
    <w:lvl w:ilvl="1">
      <w:lvlJc w:val="left"/>
      <w:lvlText w:val="%2."/>
      <w:numFmt w:val="lowerLetter"/>
      <w:start w:val="7"/>
    </w:lvl>
  </w:abstractNum>
  <w:abstractNum w:abstractNumId="85">
    <w:nsid w:val="1D545C4D"/>
    <w:multiLevelType w:val="hybridMultilevel"/>
    <w:lvl w:ilvl="0">
      <w:lvlJc w:val="left"/>
      <w:lvlText w:val="%1."/>
      <w:numFmt w:val="decimal"/>
      <w:start w:val="10"/>
    </w:lvl>
    <w:lvl w:ilvl="1">
      <w:lvlJc w:val="left"/>
      <w:lvlText w:val="%2."/>
      <w:numFmt w:val="lowerLetter"/>
      <w:start w:val="1"/>
    </w:lvl>
  </w:abstractNum>
  <w:abstractNum w:abstractNumId="86">
    <w:nsid w:val="59ADEA3D"/>
    <w:multiLevelType w:val="hybridMultilevel"/>
    <w:lvl w:ilvl="0">
      <w:lvlJc w:val="left"/>
      <w:lvlText w:val="%1"/>
      <w:numFmt w:val="decimal"/>
      <w:start w:val="1"/>
    </w:lvl>
    <w:lvl w:ilvl="1">
      <w:lvlJc w:val="left"/>
      <w:lvlText w:val="%2."/>
      <w:numFmt w:val="lowerLetter"/>
      <w:start w:val="2"/>
    </w:lvl>
  </w:abstractNum>
  <w:abstractNum w:abstractNumId="87">
    <w:nsid w:val="288F1A34"/>
    <w:multiLevelType w:val="hybridMultilevel"/>
    <w:lvl w:ilvl="0">
      <w:lvlJc w:val="left"/>
      <w:lvlText w:val="%1."/>
      <w:numFmt w:val="decimal"/>
      <w:start w:val="11"/>
    </w:lvl>
    <w:lvl w:ilvl="1">
      <w:lvlJc w:val="left"/>
      <w:lvlText w:val="%2"/>
      <w:numFmt w:val="lowerLetter"/>
      <w:start w:val="1"/>
    </w:lvl>
  </w:abstractNum>
  <w:abstractNum w:abstractNumId="88">
    <w:nsid w:val="2A155DBC"/>
    <w:multiLevelType w:val="hybridMultilevel"/>
    <w:lvl w:ilvl="0">
      <w:lvlJc w:val="left"/>
      <w:lvlText w:val="%1."/>
      <w:numFmt w:val="decimal"/>
      <w:start w:val="12"/>
    </w:lvl>
    <w:lvl w:ilvl="1">
      <w:lvlJc w:val="left"/>
      <w:lvlText w:val="%2."/>
      <w:numFmt w:val="lowerLetter"/>
      <w:start w:val="1"/>
    </w:lvl>
  </w:abstractNum>
  <w:abstractNum w:abstractNumId="89">
    <w:nsid w:val="1D9F6E5F"/>
    <w:multiLevelType w:val="hybridMultilevel"/>
    <w:lvl w:ilvl="0">
      <w:lvlJc w:val="left"/>
      <w:lvlText w:val="%1."/>
      <w:numFmt w:val="lowerLetter"/>
      <w:start w:val="5"/>
    </w:lvl>
    <w:lvl w:ilvl="1">
      <w:lvlJc w:val="left"/>
      <w:lvlText w:val="%2."/>
      <w:numFmt w:val="decimal"/>
      <w:start w:val="1"/>
    </w:lvl>
  </w:abstractNum>
  <w:abstractNum w:abstractNumId="90">
    <w:nsid w:val="97E1B4E"/>
    <w:multiLevelType w:val="hybridMultilevel"/>
    <w:lvl w:ilvl="0">
      <w:lvlJc w:val="left"/>
      <w:lvlText w:val="%1."/>
      <w:numFmt w:val="lowerLetter"/>
      <w:start w:val="9"/>
    </w:lvl>
  </w:abstractNum>
  <w:abstractNum w:abstractNumId="91">
    <w:nsid w:val="51088277"/>
    <w:multiLevelType w:val="hybridMultilevel"/>
    <w:lvl w:ilvl="0">
      <w:lvlJc w:val="left"/>
      <w:lvlText w:val="%1."/>
      <w:numFmt w:val="decimal"/>
      <w:start w:val="1"/>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decimal"/>
      <w:start w:val="2"/>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1."/>
      <w:numFmt w:val="lowerRoman"/>
      <w:start w:val="1"/>
    </w:lvl>
  </w:abstractNum>
  <w:abstractNum w:abstractNumId="96">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7">
    <w:nsid w:val="45E6D4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8">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9">
    <w:nsid w:val="E7FFA2B"/>
    <w:multiLevelType w:val="hybridMultilevel"/>
    <w:lvl w:ilvl="0">
      <w:lvlJc w:val="left"/>
      <w:lvlText w:val="%1."/>
      <w:numFmt w:val="lowerRoman"/>
      <w:start w:val="4"/>
    </w:lvl>
  </w:abstractNum>
  <w:abstractNum w:abstractNumId="100">
    <w:nsid w:val="3C5991AA"/>
    <w:multiLevelType w:val="hybridMultilevel"/>
    <w:lvl w:ilvl="0">
      <w:lvlJc w:val="left"/>
      <w:lvlText w:val="%1."/>
      <w:numFmt w:val="lowerLetter"/>
      <w:start w:val="3"/>
    </w:lvl>
  </w:abstractNum>
  <w:abstractNum w:abstractNumId="101">
    <w:nsid w:val="4BD8591A"/>
    <w:multiLevelType w:val="hybridMultilevel"/>
    <w:lvl w:ilvl="0">
      <w:lvlJc w:val="left"/>
      <w:lvlText w:val="%1."/>
      <w:numFmt w:val="decimal"/>
      <w:start w:val="1"/>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3"/>
    </w:lvl>
  </w:abstractNum>
  <w:abstractNum w:abstractNumId="104">
    <w:nsid w:val="2B0D8DBE"/>
    <w:multiLevelType w:val="hybridMultilevel"/>
    <w:lvl w:ilvl="0">
      <w:lvlJc w:val="left"/>
      <w:lvlText w:val="%1."/>
      <w:numFmt w:val="decimal"/>
      <w:start w:val="2"/>
    </w:lvl>
  </w:abstractNum>
  <w:abstractNum w:abstractNumId="105">
    <w:nsid w:val="6C80EC70"/>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06">
    <w:nsid w:val="379E21B5"/>
    <w:multiLevelType w:val="hybridMultilevel"/>
    <w:lvl w:ilvl="0">
      <w:lvlJc w:val="left"/>
      <w:lvlText w:val="%1."/>
      <w:numFmt w:val="lowerLetter"/>
      <w:start w:val="4"/>
    </w:lvl>
  </w:abstractNum>
  <w:abstractNum w:abstractNumId="107">
    <w:nsid w:val="69E373"/>
    <w:multiLevelType w:val="hybridMultilevel"/>
    <w:lvl w:ilvl="0">
      <w:lvlJc w:val="left"/>
      <w:lvlText w:val="%1."/>
      <w:numFmt w:val="decimal"/>
      <w:start w:val="3"/>
    </w:lvl>
  </w:abstractNum>
  <w:abstractNum w:abstractNumId="108">
    <w:nsid w:val="2C27173B"/>
    <w:multiLevelType w:val="hybridMultilevel"/>
    <w:lvl w:ilvl="0">
      <w:lvlJc w:val="left"/>
      <w:lvlText w:val="%1."/>
      <w:numFmt w:val="decimal"/>
      <w:start w:val="8"/>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6"/>
    </w:lvl>
    <w:lvl w:ilvl="1">
      <w:lvlJc w:val="left"/>
      <w:lvlText w:val="%2."/>
      <w:numFmt w:val="lowerRoman"/>
      <w:start w:val="1"/>
    </w:lvl>
  </w:abstractNum>
  <w:abstractNum w:abstractNumId="111">
    <w:nsid w:val="1DF029D3"/>
    <w:multiLevelType w:val="hybridMultilevel"/>
    <w:lvl w:ilvl="0">
      <w:lvlJc w:val="left"/>
      <w:lvlText w:val="%1"/>
      <w:numFmt w:val="lowerRoman"/>
      <w:start w:val="1"/>
    </w:lvl>
    <w:lvl w:ilvl="1">
      <w:lvlJc w:val="left"/>
      <w:lvlText w:val="%2."/>
      <w:numFmt w:val="lowerRoman"/>
      <w:start w:val="9"/>
    </w:lvl>
  </w:abstractNum>
  <w:abstractNum w:abstractNumId="112">
    <w:nsid w:val="5675FF36"/>
    <w:multiLevelType w:val="hybridMultilevel"/>
    <w:lvl w:ilvl="0">
      <w:lvlJc w:val="left"/>
      <w:lvlText w:val="%1."/>
      <w:numFmt w:val="lowerRoman"/>
      <w:start w:val="13"/>
    </w:lvl>
    <w:lvl w:ilvl="1">
      <w:lvlJc w:val="left"/>
      <w:lvlText w:val="%2"/>
      <w:numFmt w:val="lowerRoman"/>
      <w:start w:val="1"/>
    </w:lvl>
  </w:abstractNum>
  <w:abstractNum w:abstractNumId="113">
    <w:nsid w:val="3DD15094"/>
    <w:multiLevelType w:val="hybridMultilevel"/>
    <w:lvl w:ilvl="0">
      <w:lvlJc w:val="left"/>
      <w:lvlText w:val="%1"/>
      <w:numFmt w:val="lowerLetter"/>
      <w:start w:val="1"/>
    </w:lvl>
    <w:lvl w:ilvl="1">
      <w:lvlJc w:val="left"/>
      <w:lvlText w:val="%2."/>
      <w:numFmt w:val="lowerRoman"/>
      <w:start w:val="14"/>
    </w:lvl>
    <w:lvl w:ilvl="2">
      <w:lvlJc w:val="left"/>
      <w:lvlText w:val="%3."/>
      <w:numFmt w:val="lowerRoman"/>
      <w:start w:val="1"/>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decimal"/>
      <w:start w:val="1"/>
    </w:lvl>
    <w:lvl w:ilvl="1">
      <w:lvlJc w:val="left"/>
      <w:lvlText w:val="%2."/>
      <w:numFmt w:val="lowerLetter"/>
      <w:start w:val="3"/>
    </w:lvl>
  </w:abstractNum>
  <w:abstractNum w:abstractNumId="117">
    <w:nsid w:val="175DFCF0"/>
    <w:multiLevelType w:val="hybridMultilevel"/>
    <w:lvl w:ilvl="0">
      <w:lvlJc w:val="left"/>
      <w:lvlText w:val="%1."/>
      <w:numFmt w:val="decimal"/>
      <w:start w:val="7"/>
    </w:lvl>
    <w:lvl w:ilvl="1">
      <w:lvlJc w:val="left"/>
      <w:lvlText w:val="%2"/>
      <w:numFmt w:val="lowerLetter"/>
      <w:start w:val="1"/>
    </w:lvl>
  </w:abstractNum>
  <w:abstractNum w:abstractNumId="118">
    <w:nsid w:val="4F97E3E4"/>
    <w:multiLevelType w:val="hybridMultilevel"/>
    <w:lvl w:ilvl="0">
      <w:lvlJc w:val="left"/>
      <w:lvlText w:val="%1"/>
      <w:numFmt w:val="decimal"/>
      <w:start w:val="1"/>
    </w:lvl>
    <w:lvl w:ilvl="1">
      <w:lvlJc w:val="left"/>
      <w:lvlText w:val="%2."/>
      <w:numFmt w:val="lowerLetter"/>
      <w:start w:val="1"/>
    </w:lvl>
  </w:abstractNum>
  <w:abstractNum w:abstractNumId="119">
    <w:nsid w:val="53B0A9E"/>
    <w:multiLevelType w:val="hybridMultilevel"/>
    <w:lvl w:ilvl="0">
      <w:lvlJc w:val="left"/>
      <w:lvlText w:val="%1."/>
      <w:numFmt w:val="decimal"/>
      <w:start w:val="8"/>
    </w:lvl>
    <w:lvl w:ilvl="1">
      <w:lvlJc w:val="left"/>
      <w:lvlText w:val="%2"/>
      <w:numFmt w:val="lowerLetter"/>
      <w:start w:val="1"/>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Letter"/>
      <w:start w:val="3"/>
    </w:lvl>
  </w:abstractNum>
  <w:abstractNum w:abstractNumId="122">
    <w:nsid w:val="56438D15"/>
    <w:multiLevelType w:val="hybridMultilevel"/>
    <w:lvl w:ilvl="0">
      <w:lvlJc w:val="left"/>
      <w:lvlText w:val="%1."/>
      <w:numFmt w:val="decimal"/>
      <w:start w:val="1"/>
    </w:lvl>
    <w:lvl w:ilvl="1">
      <w:lvlJc w:val="left"/>
      <w:lvlText w:val="%2."/>
      <w:numFmt w:val="lowerLetter"/>
      <w:start w:val="1"/>
    </w:lvl>
  </w:abstractNum>
  <w:abstractNum w:abstractNumId="123">
    <w:nsid w:val="519E3149"/>
    <w:multiLevelType w:val="hybridMultilevel"/>
    <w:lvl w:ilvl="0">
      <w:lvlJc w:val="left"/>
      <w:lvlText w:val="%1."/>
      <w:numFmt w:val="decimal"/>
      <w:start w:val="9"/>
    </w:lvl>
    <w:lvl w:ilvl="1">
      <w:lvlJc w:val="left"/>
      <w:lvlText w:val="%2."/>
      <w:numFmt w:val="lowerLetter"/>
      <w:start w:val="1"/>
    </w:lvl>
  </w:abstractNum>
  <w:abstractNum w:abstractNumId="124">
    <w:nsid w:val="2C6E4AFD"/>
    <w:multiLevelType w:val="hybridMultilevel"/>
    <w:lvl w:ilvl="0">
      <w:lvlJc w:val="left"/>
      <w:lvlText w:val="%1."/>
      <w:numFmt w:val="decimal"/>
      <w:start w:val="1"/>
    </w:lvl>
    <w:lvl w:ilvl="1">
      <w:lvlJc w:val="left"/>
      <w:lvlText w:val="%2."/>
      <w:numFmt w:val="lowerLetter"/>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32"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50" Type="http://schemas.openxmlformats.org/officeDocument/2006/relationships/image" Target="media/image180.png"/><Relationship Id="rId251" Type="http://schemas.openxmlformats.org/officeDocument/2006/relationships/image" Target="media/image181.png"/><Relationship Id="rId252" Type="http://schemas.openxmlformats.org/officeDocument/2006/relationships/image" Target="media/image182.png"/><Relationship Id="rId253" Type="http://schemas.openxmlformats.org/officeDocument/2006/relationships/image" Target="media/image183.png"/><Relationship Id="rId254"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png"/><Relationship Id="rId257" Type="http://schemas.openxmlformats.org/officeDocument/2006/relationships/image" Target="media/image187.png"/><Relationship Id="rId258" Type="http://schemas.openxmlformats.org/officeDocument/2006/relationships/image" Target="media/image188.png"/><Relationship Id="rId259" Type="http://schemas.openxmlformats.org/officeDocument/2006/relationships/image" Target="media/image189.png"/><Relationship Id="rId260" Type="http://schemas.openxmlformats.org/officeDocument/2006/relationships/image" Target="media/image190.png"/><Relationship Id="rId261" Type="http://schemas.openxmlformats.org/officeDocument/2006/relationships/image" Target="media/image191.png"/><Relationship Id="rId262" Type="http://schemas.openxmlformats.org/officeDocument/2006/relationships/image" Target="media/image192.png"/><Relationship Id="rId263" Type="http://schemas.openxmlformats.org/officeDocument/2006/relationships/image" Target="media/image193.png"/><Relationship Id="rId264" Type="http://schemas.openxmlformats.org/officeDocument/2006/relationships/image" Target="media/image194.png"/><Relationship Id="rId265" Type="http://schemas.openxmlformats.org/officeDocument/2006/relationships/image" Target="media/image195.png"/><Relationship Id="rId266" Type="http://schemas.openxmlformats.org/officeDocument/2006/relationships/image" Target="media/image196.png"/><Relationship Id="rId267" Type="http://schemas.openxmlformats.org/officeDocument/2006/relationships/image" Target="media/image197.png"/><Relationship Id="rId268" Type="http://schemas.openxmlformats.org/officeDocument/2006/relationships/image" Target="media/image198.png"/><Relationship Id="rId269" Type="http://schemas.openxmlformats.org/officeDocument/2006/relationships/image" Target="media/image199.png"/><Relationship Id="rId270" Type="http://schemas.openxmlformats.org/officeDocument/2006/relationships/image" Target="media/image200.png"/><Relationship Id="rId271" Type="http://schemas.openxmlformats.org/officeDocument/2006/relationships/image" Target="media/image201.png"/><Relationship Id="rId272" Type="http://schemas.openxmlformats.org/officeDocument/2006/relationships/image" Target="media/image202.png"/><Relationship Id="rId273" Type="http://schemas.openxmlformats.org/officeDocument/2006/relationships/image" Target="media/image203.png"/><Relationship Id="rId274" Type="http://schemas.openxmlformats.org/officeDocument/2006/relationships/image" Target="media/image204.png"/><Relationship Id="rId275" Type="http://schemas.openxmlformats.org/officeDocument/2006/relationships/image" Target="media/image205.png"/><Relationship Id="rId276" Type="http://schemas.openxmlformats.org/officeDocument/2006/relationships/image" Target="media/image206.png"/><Relationship Id="rId277" Type="http://schemas.openxmlformats.org/officeDocument/2006/relationships/image" Target="media/image207.png"/><Relationship Id="rId278" Type="http://schemas.openxmlformats.org/officeDocument/2006/relationships/image" Target="media/image208.png"/><Relationship Id="rId279" Type="http://schemas.openxmlformats.org/officeDocument/2006/relationships/image" Target="media/image209.png"/><Relationship Id="rId280" Type="http://schemas.openxmlformats.org/officeDocument/2006/relationships/image" Target="media/image210.png"/><Relationship Id="rId281" Type="http://schemas.openxmlformats.org/officeDocument/2006/relationships/image" Target="media/image211.png"/><Relationship Id="rId282" Type="http://schemas.openxmlformats.org/officeDocument/2006/relationships/image" Target="media/image212.png"/><Relationship Id="rId283" Type="http://schemas.openxmlformats.org/officeDocument/2006/relationships/image" Target="media/image213.png"/><Relationship Id="rId284" Type="http://schemas.openxmlformats.org/officeDocument/2006/relationships/image" Target="media/image214.png"/><Relationship Id="rId285" Type="http://schemas.openxmlformats.org/officeDocument/2006/relationships/image" Target="media/image215.png"/><Relationship Id="rId286" Type="http://schemas.openxmlformats.org/officeDocument/2006/relationships/image" Target="media/image216.png"/><Relationship Id="rId287" Type="http://schemas.openxmlformats.org/officeDocument/2006/relationships/image" Target="media/image217.png"/><Relationship Id="rId288" Type="http://schemas.openxmlformats.org/officeDocument/2006/relationships/image" Target="media/image218.png"/><Relationship Id="rId289" Type="http://schemas.openxmlformats.org/officeDocument/2006/relationships/image" Target="media/image219.png"/><Relationship Id="rId290" Type="http://schemas.openxmlformats.org/officeDocument/2006/relationships/image" Target="media/image220.png"/><Relationship Id="rId291" Type="http://schemas.openxmlformats.org/officeDocument/2006/relationships/image" Target="media/image221.png"/><Relationship Id="rId292" Type="http://schemas.openxmlformats.org/officeDocument/2006/relationships/image" Target="media/image222.png"/><Relationship Id="rId293" Type="http://schemas.openxmlformats.org/officeDocument/2006/relationships/image" Target="media/image223.png"/><Relationship Id="rId294" Type="http://schemas.openxmlformats.org/officeDocument/2006/relationships/image" Target="media/image224.png"/><Relationship Id="rId295" Type="http://schemas.openxmlformats.org/officeDocument/2006/relationships/image" Target="media/image225.png"/><Relationship Id="rId296" Type="http://schemas.openxmlformats.org/officeDocument/2006/relationships/image" Target="media/image226.png"/><Relationship Id="rId297" Type="http://schemas.openxmlformats.org/officeDocument/2006/relationships/image" Target="media/image227.png"/><Relationship Id="rId298" Type="http://schemas.openxmlformats.org/officeDocument/2006/relationships/image" Target="media/image228.png"/><Relationship Id="rId299" Type="http://schemas.openxmlformats.org/officeDocument/2006/relationships/image" Target="media/image229.png"/><Relationship Id="rId300" Type="http://schemas.openxmlformats.org/officeDocument/2006/relationships/image" Target="media/image230.png"/><Relationship Id="rId301" Type="http://schemas.openxmlformats.org/officeDocument/2006/relationships/image" Target="media/image231.png"/><Relationship Id="rId302" Type="http://schemas.openxmlformats.org/officeDocument/2006/relationships/image" Target="media/image232.png"/><Relationship Id="rId303"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6" Type="http://schemas.openxmlformats.org/officeDocument/2006/relationships/image" Target="media/image236.png"/><Relationship Id="rId307" Type="http://schemas.openxmlformats.org/officeDocument/2006/relationships/image" Target="media/image237.png"/><Relationship Id="rId308" Type="http://schemas.openxmlformats.org/officeDocument/2006/relationships/image" Target="media/image238.png"/><Relationship Id="rId176" Type="http://schemas.openxmlformats.org/officeDocument/2006/relationships/hyperlink" Target="https://www.sec.gov/Archives/edgar/data/1819395/000119312521142206/d145199dex21.htm" TargetMode="External"/><Relationship Id="rId177" Type="http://schemas.openxmlformats.org/officeDocument/2006/relationships/hyperlink" Target="https://www.sec.gov/Archives/edgar/data/1819395/000119312521310413/d200606dex21.htm" TargetMode="External"/><Relationship Id="rId178" Type="http://schemas.openxmlformats.org/officeDocument/2006/relationships/hyperlink" Target="https://www.sec.gov/Archives/edgar/data/1819395/000162828022001184/exhibit31-super8xk.htm" TargetMode="External"/><Relationship Id="rId179" Type="http://schemas.openxmlformats.org/officeDocument/2006/relationships/hyperlink" Target="https://www.sec.gov/Archives/edgar/data/1819395/000181939523000141/exhibit31-certificateofame.htm" TargetMode="External"/><Relationship Id="rId180" Type="http://schemas.openxmlformats.org/officeDocument/2006/relationships/hyperlink" Target="https://www.sec.gov/ix?doc=/Archives/edgar/data/0001819395/000181939524000079/son-20240930.htm" TargetMode="External"/><Relationship Id="rId181" Type="http://schemas.openxmlformats.org/officeDocument/2006/relationships/hyperlink" Target="https://www.sec.gov/ix?doc=/Archives/edgar/data/0001819395/000181939524000128/son-20241223.htm" TargetMode="External"/><Relationship Id="rId182" Type="http://schemas.openxmlformats.org/officeDocument/2006/relationships/hyperlink" Target="https://www.sec.gov/ix?doc=/Archives/edgar/data/0001819395/000181939525000076/son-20250606.htm" TargetMode="External"/><Relationship Id="rId185" Type="http://schemas.openxmlformats.org/officeDocument/2006/relationships/hyperlink" Target="https://www.sec.gov/Archives/edgar/data/1819395/000181939524000046/exhibit31-certificateofdes.htm" TargetMode="External"/><Relationship Id="rId186" Type="http://schemas.openxmlformats.org/officeDocument/2006/relationships/hyperlink" Target="https://www.sec.gov/Archives/edgar/data/1819395/000175392625000627/g084774_ex3-1.htm" TargetMode="External"/><Relationship Id="rId187" Type="http://schemas.openxmlformats.org/officeDocument/2006/relationships/hyperlink" Target="https://www.sec.gov/Archives/edgar/data/1819395/000181939522000170/sonderholdingsinc-arbyla.htm" TargetMode="External"/><Relationship Id="rId188" Type="http://schemas.openxmlformats.org/officeDocument/2006/relationships/hyperlink" Target="https://www.sec.gov/Archives/edgar/data/1819395/000162828022001184/exhibit41-super8xk.htm" TargetMode="External"/><Relationship Id="rId189" Type="http://schemas.openxmlformats.org/officeDocument/2006/relationships/hyperlink" Target="https://www.sec.gov/Archives/edgar/data/1819395/000119312520326144/d60940dex43.htm" TargetMode="External"/><Relationship Id="rId190" Type="http://schemas.openxmlformats.org/officeDocument/2006/relationships/hyperlink" Target="https://www.sec.gov/Archives/edgar/data/1819395/000119312521016455/d31698dex41.htm" TargetMode="External"/><Relationship Id="rId191" Type="http://schemas.openxmlformats.org/officeDocument/2006/relationships/hyperlink" Target="https://www.sec.gov/Archives/edgar/data/1819395/000162828022001521/exhibit44-sx1resale.htm" TargetMode="External"/><Relationship Id="rId192" Type="http://schemas.openxmlformats.org/officeDocument/2006/relationships/hyperlink" Target="https://www.sec.gov/Archives/edgar/data/1819395/000181939524000037/exhibit103-warrantagreement.htm" TargetMode="External"/><Relationship Id="rId193" Type="http://schemas.openxmlformats.org/officeDocument/2006/relationships/hyperlink" Target="https://www.sec.gov/Archives/edgar/data/1819395/000181939524000128/exhibit41.htm" TargetMode="External"/><Relationship Id="rId194" Type="http://schemas.openxmlformats.org/officeDocument/2006/relationships/hyperlink" Target="https://www.sec.gov/Archives/edgar/data/1819395/000175392625000627/g084774_ex4-1.htm" TargetMode="External"/><Relationship Id="rId195" Type="http://schemas.openxmlformats.org/officeDocument/2006/relationships/hyperlink" Target="https://www.sec.gov/Archives/edgar/data/1819395/000119312521142206/d145199dex101.htm" TargetMode="External"/><Relationship Id="rId196" Type="http://schemas.openxmlformats.org/officeDocument/2006/relationships/hyperlink" Target="https://www.sec.gov/Archives/edgar/data/1819395/000119312521310413/d200606dex101.htm" TargetMode="External"/><Relationship Id="rId197" Type="http://schemas.openxmlformats.org/officeDocument/2006/relationships/hyperlink" Target="https://www.sec.gov/Archives/edgar/data/1819395/000119312521310413/d200606dex102.htm" TargetMode="External"/><Relationship Id="rId200" Type="http://schemas.openxmlformats.org/officeDocument/2006/relationships/hyperlink" Target="https://www.sec.gov/Archives/edgar/data/1819395/000162828022001184/exhibit104-super8xk.htm" TargetMode="External"/><Relationship Id="rId201" Type="http://schemas.openxmlformats.org/officeDocument/2006/relationships/hyperlink" Target="https://www.sec.gov/Archives/edgar/data/1819395/000119312521208884/d193832ds4.htm#rom193832_60" TargetMode="External"/><Relationship Id="rId202" Type="http://schemas.openxmlformats.org/officeDocument/2006/relationships/hyperlink" Target="https://www.sec.gov/Archives/edgar/data/1819395/000162828022001184/exhibit107-super8xk.htm" TargetMode="External"/><Relationship Id="rId203" Type="http://schemas.openxmlformats.org/officeDocument/2006/relationships/hyperlink" Target="https://www.sec.gov/ix?doc=/Archives/edgar/data/0001819395/000119312521355588/d193832ds4a.htm#rom193832_61" TargetMode="External"/><Relationship Id="rId204" Type="http://schemas.openxmlformats.org/officeDocument/2006/relationships/hyperlink" Target="https://www.sec.gov/Archives/edgar/data/1819395/000181939524000128/exhibit101.htm" TargetMode="External"/><Relationship Id="rId205" Type="http://schemas.openxmlformats.org/officeDocument/2006/relationships/hyperlink" Target="https://www.sec.gov/Archives/edgar/data/1819395/000162828022001184/exhibit109-super8xk.htm" TargetMode="External"/><Relationship Id="rId206" Type="http://schemas.openxmlformats.org/officeDocument/2006/relationships/hyperlink" Target="https://www.sec.gov/Archives/edgar/data/1819395/000162828022001184/exhibit1010-super8xk.htm" TargetMode="External"/><Relationship Id="rId207" Type="http://schemas.openxmlformats.org/officeDocument/2006/relationships/hyperlink" Target="https://www.sec.gov/Archives/edgar/data/1819395/000162828022001184/exhibit1011-super8xk.htm" TargetMode="External"/><Relationship Id="rId208" Type="http://schemas.openxmlformats.org/officeDocument/2006/relationships/hyperlink" Target="https://www.sec.gov/Archives/edgar/data/1819395/000162828022001184/exhibit1012-super8xk.htm" TargetMode="External"/><Relationship Id="rId209" Type="http://schemas.openxmlformats.org/officeDocument/2006/relationships/hyperlink" Target="https://www.sec.gov/Archives/edgar/data/1819395/000162828022001184/exhibit1013-super8xk.htm" TargetMode="External"/><Relationship Id="rId210" Type="http://schemas.openxmlformats.org/officeDocument/2006/relationships/hyperlink" Target="https://www.sec.gov/Archives/edgar/data/1819395/000181939523000006/exhibit101-2023inducemen.htm" TargetMode="External"/><Relationship Id="rId211" Type="http://schemas.openxmlformats.org/officeDocument/2006/relationships/hyperlink" Target="https://www.sec.gov/Archives/edgar/data/1819395/000181939523000121/exhibit101-amendmentno1to2.htm" TargetMode="External"/><Relationship Id="rId212" Type="http://schemas.openxmlformats.org/officeDocument/2006/relationships/hyperlink" Target="https://www.sec.gov/Archives/edgar/data/1819395/000181939523000006/exhibit102-formofstockop.htm" TargetMode="External"/><Relationship Id="rId213" Type="http://schemas.openxmlformats.org/officeDocument/2006/relationships/hyperlink" Target="https://www.sec.gov/Archives/edgar/data/1819395/000181939523000006/exhibit103-formofrsuagre.htm" TargetMode="External"/><Relationship Id="rId214" Type="http://schemas.openxmlformats.org/officeDocument/2006/relationships/hyperlink" Target="https://www.sec.gov/Archives/edgar/data/1819395/000119312521300489/d193832dex107.htm" TargetMode="External"/><Relationship Id="rId217" Type="http://schemas.openxmlformats.org/officeDocument/2006/relationships/hyperlink" Target="https://www.sec.gov/Archives/edgar/data/1819395/000181939523000127/ex101-finalkeyexecutivecha.htm" TargetMode="External"/><Relationship Id="rId218" Type="http://schemas.openxmlformats.org/officeDocument/2006/relationships/hyperlink" Target="https://www.sec.gov/ix?doc=/Archives/edgar/data/0001819395/000119312521340971/d193832ds4a.htm#rom193832_62" TargetMode="External"/><Relationship Id="rId219" Type="http://schemas.openxmlformats.org/officeDocument/2006/relationships/hyperlink" Target="https://www.sec.gov/Archives/edgar/data/1819395/000119312521275554/d193832dex1011.htm" TargetMode="External"/><Relationship Id="rId220" Type="http://schemas.openxmlformats.org/officeDocument/2006/relationships/hyperlink" Target="https://www.sec.gov/Archives/edgar/data/0001819395/000181939523000074/exhibit101-sonder_offerx.htm" TargetMode="External"/><Relationship Id="rId221" Type="http://schemas.openxmlformats.org/officeDocument/2006/relationships/hyperlink" Target="https://www.sec.gov/Archives/edgar/data/1819395/000162828022001184/exhibit1023-super8xk.htm" TargetMode="External"/><Relationship Id="rId222" Type="http://schemas.openxmlformats.org/officeDocument/2006/relationships/hyperlink" Target="https://www.sec.gov/Archives/edgar/data/1819395/000162828022001184/exhibit1028-super8xk.htm" TargetMode="External"/><Relationship Id="rId223" Type="http://schemas.openxmlformats.org/officeDocument/2006/relationships/hyperlink" Target="https://www.sec.gov/Archives/edgar/data/1819395/000119312521355588/d193832dex1017.htm" TargetMode="External"/><Relationship Id="rId224" Type="http://schemas.openxmlformats.org/officeDocument/2006/relationships/hyperlink" Target="https://www.sec.gov/Archives/edgar/data/1819395/000181939523000029/exhibit1029-firstamendme.htm" TargetMode="External"/><Relationship Id="rId227" Type="http://schemas.openxmlformats.org/officeDocument/2006/relationships/hyperlink" Target="https://www.sec.gov/Archives/edgar/data/1819395/000181939523000162/sonder-ex102omnibusnpaam.htm" TargetMode="External"/><Relationship Id="rId228" Type="http://schemas.openxmlformats.org/officeDocument/2006/relationships/hyperlink" Target="https://www.sec.gov/Archives/edgar/data/1819395/000181939524000037/exhibit101-waiverforbear.htm" TargetMode="External"/><Relationship Id="rId229" Type="http://schemas.openxmlformats.org/officeDocument/2006/relationships/hyperlink" Target="https://www.sec.gov/ix?doc=/Archives/edgar/data/0001819395/000181939524000040/son-20240712.htm" TargetMode="External"/><Relationship Id="rId230" Type="http://schemas.openxmlformats.org/officeDocument/2006/relationships/hyperlink" Target="https://www.sec.gov/Archives/edgar/data/1819395/000181939524000046/exhibit101sonder-npaamen.htm" TargetMode="External"/><Relationship Id="rId231" Type="http://schemas.openxmlformats.org/officeDocument/2006/relationships/hyperlink" Target="https://www.sec.gov/Archives/edgar/data/1819395/000175392625000627/g084774_ex10-3.htm" TargetMode="External"/><Relationship Id="rId233" Type="http://schemas.openxmlformats.org/officeDocument/2006/relationships/hyperlink" Target="https://www.sec.gov/Archives/edgar/data/1819395/000181939523000029/exhibit1030-sonderxsvbxl.htm" TargetMode="External"/><Relationship Id="rId234" Type="http://schemas.openxmlformats.org/officeDocument/2006/relationships/hyperlink" Target="https://www.sec.gov/ix?doc=/Archives/edgar/data/0001819395/000181939523000067/son-20230428.htm" TargetMode="External"/><Relationship Id="rId235" Type="http://schemas.openxmlformats.org/officeDocument/2006/relationships/hyperlink" Target="https://www.sec.gov/Archives/edgar/data/1819395/000181939523000162/sonder-ex101svbloanamendme.htm" TargetMode="External"/><Relationship Id="rId236" Type="http://schemas.openxmlformats.org/officeDocument/2006/relationships/hyperlink" Target="https://www.sec.gov/Archives/edgar/data/1819395/000181939524000037/exhibit102-waiverandthir.htm" TargetMode="External"/><Relationship Id="rId237" Type="http://schemas.openxmlformats.org/officeDocument/2006/relationships/hyperlink" Target="https://www.sec.gov/Archives/edgar/data/1819395/000181939524000040/exhibit102-fourthamendment.htm" TargetMode="External"/><Relationship Id="rId238" Type="http://schemas.openxmlformats.org/officeDocument/2006/relationships/hyperlink" Target="https://www.sec.gov/Archives/edgar/data/1819395/000181939524000046/exhibit102-fifthamendmentt.htm" TargetMode="External"/><Relationship Id="rId241" Type="http://schemas.openxmlformats.org/officeDocument/2006/relationships/hyperlink" Target="https://www.sec.gov/ix?doc=/Archives/edgar/data/0001819395/000181939524000075/sond-20231231.htm" TargetMode="External"/><Relationship Id="rId242" Type="http://schemas.openxmlformats.org/officeDocument/2006/relationships/hyperlink" Target="https://www.sec.gov/Archives/edgar/data/1819395/000181939524000088/exhibit103-waiveragreement.htm" TargetMode="External"/><Relationship Id="rId243" Type="http://schemas.openxmlformats.org/officeDocument/2006/relationships/hyperlink" Target="https://www.sec.gov/Archives/edgar/data/1819395/000175392625000627/g084774_ex10-4.htm" TargetMode="External"/><Relationship Id="rId244" Type="http://schemas.openxmlformats.org/officeDocument/2006/relationships/hyperlink" Target="https://www.sec.gov/Archives/edgar/data/1819395/000181939524000046/exhibit103-formofsecuritie.htm" TargetMode="External"/><Relationship Id="rId245" Type="http://schemas.openxmlformats.org/officeDocument/2006/relationships/hyperlink" Target="https://www.sec.gov/Archives/edgar/data/1819395/000175392625000627/g084774_ex10-1.htm" TargetMode="External"/><Relationship Id="rId246" Type="http://schemas.openxmlformats.org/officeDocument/2006/relationships/hyperlink" Target="https://www.sec.gov/Archives/edgar/data/1819395/000175392625000627/g084774_ex10-2.htm" TargetMode="External"/><Relationship Id="rId247" Type="http://schemas.openxmlformats.org/officeDocument/2006/relationships/hyperlink" Target="https://www.sec.gov/Archives/edgar/data/1819395/000181939524000088/exhibit101-formoflimitedwa.htm" TargetMode="External"/><Relationship Id="rId248" Type="http://schemas.openxmlformats.org/officeDocument/2006/relationships/hyperlink" Target="https://www.sec.gov/Archives/edgar/data/1819395/000181939524000088/exhibit102-limitedwaiveran.htm" TargetMode="External"/><Relationship Id="rId249" Type="http://schemas.openxmlformats.org/officeDocument/2006/relationships/hyperlink" Target="https://www.sec.gov/Archives/edgar/data/1819395/000181939524000046/exhibit105-license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2025-07-24T05:30:18Z</dcterms:created>
  <dcterms:modified xsi:type="dcterms:W3CDTF">2025-07-24T05:30:18Z</dcterms:modified>
</cp:coreProperties>
</file>