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391160</wp:posOffset>
            </wp:positionV>
            <wp:extent cx="71450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414655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9" w:lineRule="exact"/>
        <w:rPr>
          <w:sz w:val="24"/>
          <w:szCs w:val="24"/>
          <w:color w:val="auto"/>
        </w:rPr>
      </w:pPr>
    </w:p>
    <w:p>
      <w:pPr>
        <w:ind w:left="1980" w:right="1680" w:hanging="280"/>
        <w:spacing w:after="0" w:line="280" w:lineRule="auto"/>
        <w:tabs>
          <w:tab w:leader="none" w:pos="19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232" w:lineRule="exact"/>
        <w:rPr>
          <w:sz w:val="24"/>
          <w:szCs w:val="24"/>
          <w:color w:val="auto"/>
        </w:rPr>
      </w:pPr>
    </w:p>
    <w:p>
      <w:pPr>
        <w:ind w:left="1980" w:right="2000" w:hanging="280"/>
        <w:spacing w:after="0" w:line="280" w:lineRule="auto"/>
        <w:tabs>
          <w:tab w:leader="none" w:pos="19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001-39907</w:t>
      </w:r>
    </w:p>
    <w:p>
      <w:pPr>
        <w:spacing w:after="0" w:line="10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SONDER HOLDINGS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w:t>
      </w:r>
    </w:p>
    <w:p>
      <w:pPr>
        <w:spacing w:after="0" w:line="228"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40" w:type="dxa"/>
            <w:vAlign w:val="bottom"/>
            <w:gridSpan w:val="2"/>
          </w:tcPr>
          <w:p>
            <w:pPr>
              <w:jc w:val="center"/>
              <w:ind w:right="61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jc w:val="right"/>
              <w:ind w:right="1678"/>
              <w:spacing w:after="0"/>
              <w:rPr>
                <w:sz w:val="20"/>
                <w:szCs w:val="20"/>
                <w:color w:val="auto"/>
              </w:rPr>
            </w:pPr>
            <w:r>
              <w:rPr>
                <w:rFonts w:ascii="Times New Roman" w:cs="Times New Roman" w:eastAsia="Times New Roman" w:hAnsi="Times New Roman"/>
                <w:sz w:val="16"/>
                <w:szCs w:val="16"/>
                <w:b w:val="1"/>
                <w:bCs w:val="1"/>
                <w:color w:val="auto"/>
              </w:rPr>
              <w:t>85-2097088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
        </w:trPr>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940" w:type="dxa"/>
            <w:vAlign w:val="bottom"/>
            <w:gridSpan w:val="2"/>
          </w:tcPr>
          <w:p>
            <w:pPr>
              <w:jc w:val="center"/>
              <w:ind w:right="578"/>
              <w:spacing w:after="0" w:line="15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40" w:type="dxa"/>
            <w:vAlign w:val="bottom"/>
            <w:gridSpan w:val="2"/>
          </w:tcPr>
          <w:p>
            <w:pPr>
              <w:jc w:val="center"/>
              <w:ind w:right="1860"/>
              <w:spacing w:after="0" w:line="155"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100" w:type="dxa"/>
            <w:vAlign w:val="bottom"/>
          </w:tcPr>
          <w:p>
            <w:pPr>
              <w:spacing w:after="0"/>
              <w:rPr>
                <w:sz w:val="13"/>
                <w:szCs w:val="13"/>
                <w:color w:val="auto"/>
              </w:rPr>
            </w:pPr>
          </w:p>
        </w:tc>
      </w:tr>
      <w:tr>
        <w:trPr>
          <w:trHeight w:val="228"/>
        </w:trPr>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40" w:type="dxa"/>
            <w:vAlign w:val="bottom"/>
            <w:gridSpan w:val="2"/>
          </w:tcPr>
          <w:p>
            <w:pPr>
              <w:jc w:val="center"/>
              <w:ind w:right="618"/>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40" w:type="dxa"/>
            <w:vAlign w:val="bottom"/>
            <w:gridSpan w:val="2"/>
          </w:tcPr>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100" w:type="dxa"/>
            <w:vAlign w:val="bottom"/>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940" w:type="dxa"/>
            <w:vAlign w:val="bottom"/>
            <w:gridSpan w:val="2"/>
          </w:tcPr>
          <w:p>
            <w:pPr>
              <w:jc w:val="center"/>
              <w:ind w:right="618"/>
              <w:spacing w:after="0"/>
              <w:rPr>
                <w:sz w:val="20"/>
                <w:szCs w:val="20"/>
                <w:color w:val="auto"/>
              </w:rPr>
            </w:pPr>
            <w:r>
              <w:rPr>
                <w:rFonts w:ascii="Times New Roman" w:cs="Times New Roman" w:eastAsia="Times New Roman" w:hAnsi="Times New Roman"/>
                <w:sz w:val="16"/>
                <w:szCs w:val="16"/>
                <w:b w:val="1"/>
                <w:bCs w:val="1"/>
                <w:color w:val="auto"/>
              </w:rPr>
              <w:t>447 Sutter St., Suite 405 #542</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40" w:type="dxa"/>
            <w:vAlign w:val="bottom"/>
            <w:gridSpan w:val="2"/>
          </w:tcPr>
          <w:p>
            <w:pPr>
              <w:jc w:val="center"/>
              <w:ind w:right="618"/>
              <w:spacing w:after="0"/>
              <w:rPr>
                <w:sz w:val="20"/>
                <w:szCs w:val="20"/>
                <w:color w:val="auto"/>
              </w:rPr>
            </w:pPr>
            <w:r>
              <w:rPr>
                <w:rFonts w:ascii="Times New Roman" w:cs="Times New Roman" w:eastAsia="Times New Roman" w:hAnsi="Times New Roman"/>
                <w:sz w:val="16"/>
                <w:szCs w:val="16"/>
                <w:b w:val="1"/>
                <w:bCs w:val="1"/>
                <w:color w:val="auto"/>
              </w:rPr>
              <w:t>San Francisco, California</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jc w:val="right"/>
              <w:ind w:right="1878"/>
              <w:spacing w:after="0"/>
              <w:rPr>
                <w:sz w:val="20"/>
                <w:szCs w:val="20"/>
                <w:color w:val="auto"/>
              </w:rPr>
            </w:pPr>
            <w:r>
              <w:rPr>
                <w:rFonts w:ascii="Times New Roman" w:cs="Times New Roman" w:eastAsia="Times New Roman" w:hAnsi="Times New Roman"/>
                <w:sz w:val="16"/>
                <w:szCs w:val="16"/>
                <w:b w:val="1"/>
                <w:bCs w:val="1"/>
                <w:color w:val="auto"/>
              </w:rPr>
              <w:t>94108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
        </w:trPr>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80" w:type="dxa"/>
            <w:vAlign w:val="bottom"/>
          </w:tcPr>
          <w:p>
            <w:pPr>
              <w:spacing w:after="0"/>
              <w:rPr>
                <w:sz w:val="18"/>
                <w:szCs w:val="18"/>
                <w:color w:val="auto"/>
              </w:rPr>
            </w:pPr>
          </w:p>
        </w:tc>
        <w:tc>
          <w:tcPr>
            <w:tcW w:w="4560" w:type="dxa"/>
            <w:vAlign w:val="bottom"/>
            <w:gridSpan w:val="3"/>
          </w:tcPr>
          <w:p>
            <w:pPr>
              <w:jc w:val="center"/>
              <w:ind w:left="838"/>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40" w:type="dxa"/>
            <w:vAlign w:val="bottom"/>
            <w:gridSpan w:val="2"/>
          </w:tcPr>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100" w:type="dxa"/>
            <w:vAlign w:val="bottom"/>
          </w:tcPr>
          <w:p>
            <w:pPr>
              <w:spacing w:after="0"/>
              <w:rPr>
                <w:sz w:val="18"/>
                <w:szCs w:val="18"/>
                <w:color w:val="auto"/>
              </w:rPr>
            </w:pPr>
          </w:p>
        </w:tc>
      </w:tr>
      <w:tr>
        <w:trPr>
          <w:trHeight w:val="462"/>
        </w:trPr>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6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(617) 300-0956</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gridSpan w:val="7"/>
          </w:tcPr>
          <w:p>
            <w:pPr>
              <w:ind w:left="9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540" w:type="dxa"/>
            <w:vAlign w:val="bottom"/>
            <w:gridSpan w:val="10"/>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tc>
        <w:tc>
          <w:tcPr>
            <w:tcW w:w="3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2"/>
        </w:trPr>
        <w:tc>
          <w:tcPr>
            <w:tcW w:w="46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64"/>
        </w:trPr>
        <w:tc>
          <w:tcPr>
            <w:tcW w:w="80" w:type="dxa"/>
            <w:vAlign w:val="bottom"/>
            <w:tcBorders>
              <w:left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2940" w:type="dxa"/>
            <w:vAlign w:val="bottom"/>
            <w:tcBorders>
              <w:right w:val="single" w:sz="8" w:color="auto"/>
            </w:tcBorders>
            <w:gridSpan w:val="2"/>
          </w:tcPr>
          <w:p>
            <w:pPr>
              <w:jc w:val="center"/>
              <w:ind w:right="1618"/>
              <w:spacing w:after="0" w:line="164"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Borders>
              <w:right w:val="single" w:sz="8" w:color="auto"/>
            </w:tcBorders>
            <w:gridSpan w:val="5"/>
          </w:tcPr>
          <w:p>
            <w:pPr>
              <w:jc w:val="center"/>
              <w:ind w:right="20"/>
              <w:spacing w:after="0" w:line="164"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660" w:type="dxa"/>
            <w:vAlign w:val="bottom"/>
          </w:tcPr>
          <w:p>
            <w:pPr>
              <w:spacing w:after="0"/>
              <w:rPr>
                <w:sz w:val="14"/>
                <w:szCs w:val="14"/>
                <w:color w:val="auto"/>
              </w:rPr>
            </w:pPr>
          </w:p>
        </w:tc>
        <w:tc>
          <w:tcPr>
            <w:tcW w:w="3640" w:type="dxa"/>
            <w:vAlign w:val="bottom"/>
            <w:gridSpan w:val="2"/>
          </w:tcPr>
          <w:p>
            <w:pPr>
              <w:jc w:val="center"/>
              <w:ind w:right="600"/>
              <w:spacing w:after="0" w:line="164"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100" w:type="dxa"/>
            <w:vAlign w:val="bottom"/>
            <w:tcBorders>
              <w:right w:val="single" w:sz="8" w:color="auto"/>
            </w:tcBorders>
          </w:tcPr>
          <w:p>
            <w:pPr>
              <w:spacing w:after="0"/>
              <w:rPr>
                <w:sz w:val="14"/>
                <w:szCs w:val="14"/>
                <w:color w:val="auto"/>
              </w:rPr>
            </w:pPr>
          </w:p>
        </w:tc>
      </w:tr>
      <w:tr>
        <w:trPr>
          <w:trHeight w:val="41"/>
        </w:trPr>
        <w:tc>
          <w:tcPr>
            <w:tcW w:w="8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40" w:type="dxa"/>
            <w:vAlign w:val="bottom"/>
            <w:tcBorders>
              <w:top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217"/>
        </w:trPr>
        <w:tc>
          <w:tcPr>
            <w:tcW w:w="80" w:type="dxa"/>
            <w:vAlign w:val="bottom"/>
            <w:tcBorders>
              <w:left w:val="single" w:sz="8" w:color="auto"/>
              <w:bottom w:val="single" w:sz="8" w:color="auto"/>
            </w:tcBorders>
          </w:tcPr>
          <w:p>
            <w:pPr>
              <w:spacing w:after="0"/>
              <w:rPr>
                <w:sz w:val="18"/>
                <w:szCs w:val="18"/>
                <w:color w:val="auto"/>
              </w:rPr>
            </w:pPr>
          </w:p>
        </w:tc>
        <w:tc>
          <w:tcPr>
            <w:tcW w:w="45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SOND</w:t>
            </w:r>
          </w:p>
        </w:tc>
        <w:tc>
          <w:tcPr>
            <w:tcW w:w="6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100" w:type="dxa"/>
            <w:vAlign w:val="bottom"/>
            <w:tcBorders>
              <w:bottom w:val="single" w:sz="8" w:color="auto"/>
              <w:right w:val="single" w:sz="8" w:color="auto"/>
            </w:tcBorders>
          </w:tcPr>
          <w:p>
            <w:pPr>
              <w:spacing w:after="0"/>
              <w:rPr>
                <w:sz w:val="18"/>
                <w:szCs w:val="18"/>
                <w:color w:val="auto"/>
              </w:rPr>
            </w:pPr>
          </w:p>
        </w:tc>
      </w:tr>
      <w:tr>
        <w:trPr>
          <w:trHeight w:val="175"/>
        </w:trPr>
        <w:tc>
          <w:tcPr>
            <w:tcW w:w="4640" w:type="dxa"/>
            <w:vAlign w:val="bottom"/>
            <w:tcBorders>
              <w:left w:val="single" w:sz="8" w:color="auto"/>
              <w:right w:val="single" w:sz="8" w:color="auto"/>
            </w:tcBorders>
            <w:gridSpan w:val="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Warrants, each 20 warrants exercisable for one share of Common</w:t>
            </w:r>
          </w:p>
        </w:tc>
        <w:tc>
          <w:tcPr>
            <w:tcW w:w="460" w:type="dxa"/>
            <w:vAlign w:val="bottom"/>
          </w:tcPr>
          <w:p>
            <w:pPr>
              <w:spacing w:after="0"/>
              <w:rPr>
                <w:sz w:val="15"/>
                <w:szCs w:val="15"/>
                <w:color w:val="auto"/>
              </w:rPr>
            </w:pPr>
          </w:p>
        </w:tc>
        <w:tc>
          <w:tcPr>
            <w:tcW w:w="1780" w:type="dxa"/>
            <w:vAlign w:val="bottom"/>
            <w:tcBorders>
              <w:right w:val="single" w:sz="8" w:color="auto"/>
            </w:tcBorders>
            <w:gridSpan w:val="4"/>
          </w:tcPr>
          <w:p>
            <w:pPr>
              <w:jc w:val="center"/>
              <w:ind w:right="480"/>
              <w:spacing w:after="0" w:line="175" w:lineRule="exact"/>
              <w:rPr>
                <w:sz w:val="20"/>
                <w:szCs w:val="20"/>
                <w:color w:val="auto"/>
              </w:rPr>
            </w:pPr>
            <w:r>
              <w:rPr>
                <w:rFonts w:ascii="Times New Roman" w:cs="Times New Roman" w:eastAsia="Times New Roman" w:hAnsi="Times New Roman"/>
                <w:sz w:val="16"/>
                <w:szCs w:val="16"/>
                <w:b w:val="1"/>
                <w:bCs w:val="1"/>
                <w:color w:val="auto"/>
              </w:rPr>
              <w:t>SONDW</w:t>
            </w:r>
          </w:p>
        </w:tc>
        <w:tc>
          <w:tcPr>
            <w:tcW w:w="660" w:type="dxa"/>
            <w:vAlign w:val="bottom"/>
          </w:tcPr>
          <w:p>
            <w:pPr>
              <w:spacing w:after="0"/>
              <w:rPr>
                <w:sz w:val="15"/>
                <w:szCs w:val="15"/>
                <w:color w:val="auto"/>
              </w:rPr>
            </w:pPr>
          </w:p>
        </w:tc>
        <w:tc>
          <w:tcPr>
            <w:tcW w:w="3640" w:type="dxa"/>
            <w:vAlign w:val="bottom"/>
            <w:gridSpan w:val="2"/>
          </w:tcPr>
          <w:p>
            <w:pPr>
              <w:jc w:val="center"/>
              <w:ind w:right="580"/>
              <w:spacing w:after="0" w:line="175"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100" w:type="dxa"/>
            <w:vAlign w:val="bottom"/>
            <w:tcBorders>
              <w:right w:val="single" w:sz="8" w:color="auto"/>
            </w:tcBorders>
          </w:tcPr>
          <w:p>
            <w:pPr>
              <w:spacing w:after="0"/>
              <w:rPr>
                <w:sz w:val="15"/>
                <w:szCs w:val="15"/>
                <w:color w:val="auto"/>
              </w:rPr>
            </w:pPr>
          </w:p>
        </w:tc>
      </w:tr>
      <w:tr>
        <w:trPr>
          <w:trHeight w:val="215"/>
        </w:trPr>
        <w:tc>
          <w:tcPr>
            <w:tcW w:w="80" w:type="dxa"/>
            <w:vAlign w:val="bottom"/>
            <w:tcBorders>
              <w:left w:val="single" w:sz="8" w:color="auto"/>
            </w:tcBorders>
          </w:tcPr>
          <w:p>
            <w:pPr>
              <w:spacing w:after="0"/>
              <w:rPr>
                <w:sz w:val="18"/>
                <w:szCs w:val="18"/>
                <w:color w:val="auto"/>
              </w:rPr>
            </w:pPr>
          </w:p>
        </w:tc>
        <w:tc>
          <w:tcPr>
            <w:tcW w:w="45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at an exercise price of $230.00 per share</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25"/>
        </w:trPr>
        <w:tc>
          <w:tcPr>
            <w:tcW w:w="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534035</wp:posOffset>
            </wp:positionV>
            <wp:extent cx="71704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22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52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1520" w:type="dxa"/>
            <w:vAlign w:val="bottom"/>
          </w:tcPr>
          <w:p>
            <w:pPr>
              <w:ind w:left="1360"/>
              <w:spacing w:after="0"/>
              <w:rPr>
                <w:sz w:val="20"/>
                <w:szCs w:val="20"/>
                <w:color w:val="auto"/>
              </w:rPr>
            </w:pPr>
            <w:r>
              <w:rPr>
                <w:rFonts w:ascii="Wingdings" w:cs="Wingdings" w:eastAsia="Wingdings" w:hAnsi="Wingdings"/>
                <w:sz w:val="16"/>
                <w:szCs w:val="16"/>
                <w:b w:val="1"/>
                <w:bCs w:val="1"/>
                <w:color w:val="auto"/>
                <w:w w:val="97"/>
              </w:rPr>
              <w:t>o</w:t>
            </w:r>
          </w:p>
        </w:tc>
      </w:tr>
      <w:tr>
        <w:trPr>
          <w:trHeight w:val="245"/>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520"/>
              <w:spacing w:after="0"/>
              <w:rPr>
                <w:sz w:val="20"/>
                <w:szCs w:val="20"/>
                <w:color w:val="auto"/>
              </w:rPr>
            </w:pPr>
            <w:r>
              <w:rPr>
                <w:rFonts w:ascii="Wingdings" w:cs="Wingdings" w:eastAsia="Wingdings" w:hAnsi="Wingdings"/>
                <w:sz w:val="16"/>
                <w:szCs w:val="16"/>
                <w:b w:val="1"/>
                <w:bCs w:val="1"/>
                <w:color w:val="auto"/>
              </w:rPr>
              <w:t>x</w:t>
            </w:r>
          </w:p>
        </w:tc>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20" w:type="dxa"/>
            <w:vAlign w:val="bottom"/>
          </w:tcPr>
          <w:p>
            <w:pPr>
              <w:ind w:left="1360"/>
              <w:spacing w:after="0"/>
              <w:rPr>
                <w:sz w:val="20"/>
                <w:szCs w:val="20"/>
                <w:color w:val="auto"/>
              </w:rPr>
            </w:pPr>
            <w:r>
              <w:rPr>
                <w:rFonts w:ascii="Wingdings" w:cs="Wingdings" w:eastAsia="Wingdings" w:hAnsi="Wingdings"/>
                <w:sz w:val="16"/>
                <w:szCs w:val="16"/>
                <w:b w:val="1"/>
                <w:bCs w:val="1"/>
                <w:color w:val="auto"/>
                <w:w w:val="82"/>
              </w:rPr>
              <w:t>x</w:t>
            </w:r>
          </w:p>
        </w:tc>
      </w:tr>
      <w:tr>
        <w:trPr>
          <w:trHeight w:val="233"/>
        </w:trPr>
        <w:tc>
          <w:tcPr>
            <w:tcW w:w="2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1360"/>
              <w:spacing w:after="0"/>
              <w:rPr>
                <w:sz w:val="20"/>
                <w:szCs w:val="20"/>
                <w:color w:val="auto"/>
              </w:rPr>
            </w:pPr>
            <w:r>
              <w:rPr>
                <w:rFonts w:ascii="Wingdings" w:cs="Wingdings" w:eastAsia="Wingdings" w:hAnsi="Wingdings"/>
                <w:sz w:val="16"/>
                <w:szCs w:val="16"/>
                <w:b w:val="1"/>
                <w:bCs w:val="1"/>
                <w:color w:val="auto"/>
                <w:w w:val="82"/>
              </w:rPr>
              <w:t>x</w:t>
            </w:r>
          </w:p>
        </w:tc>
      </w:tr>
    </w:tbl>
    <w:p>
      <w:pPr>
        <w:spacing w:after="0" w:line="29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4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14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x</w:t>
      </w:r>
    </w:p>
    <w:p>
      <w:pPr>
        <w:spacing w:after="0" w:line="166"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The aggregate market value of voting and non-voting common equity of the registrant held by non-affiliates as of June 30, 2023 was $110.2 million and as of June 30, 2024 was $48.5 million. The registrant had outstanding 11,585,625 shares of common stock as of August 30, 2024.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767080</wp:posOffset>
            </wp:positionV>
            <wp:extent cx="71704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40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173355</wp:posOffset>
            </wp:positionV>
            <wp:extent cx="7145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196850</wp:posOffset>
            </wp:positionV>
            <wp:extent cx="7145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62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8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4"/>
        </w:trPr>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6"/>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80" w:type="dxa"/>
            <w:vAlign w:val="bottom"/>
            <w:gridSpan w:val="7"/>
          </w:tcPr>
          <w:p>
            <w:pPr>
              <w:ind w:left="252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Special Note Regarding Forward-Looking Statements</w:t>
            </w:r>
          </w:p>
        </w:tc>
        <w:tc>
          <w:tcPr>
            <w:tcW w:w="2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Explanatory Note</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0000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 Business</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58</w:t>
            </w: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1B. Unresolved Staff Comments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58</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2. Properties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3. Legal Proceedings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5"/>
          </w:tcPr>
          <w:p>
            <w:pPr>
              <w:spacing w:after="0" w:line="20" w:lineRule="exact"/>
              <w:rPr>
                <w:sz w:val="1"/>
                <w:szCs w:val="1"/>
                <w:color w:val="auto"/>
              </w:rPr>
            </w:pPr>
          </w:p>
        </w:tc>
        <w:tc>
          <w:tcPr>
            <w:tcW w:w="500" w:type="dxa"/>
            <w:vAlign w:val="bottom"/>
            <w:tcBorders>
              <w:bottom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60</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5"/>
          </w:tcPr>
          <w:p>
            <w:pPr>
              <w:spacing w:after="0" w:line="20" w:lineRule="exact"/>
              <w:rPr>
                <w:sz w:val="1"/>
                <w:szCs w:val="1"/>
                <w:color w:val="auto"/>
              </w:rPr>
            </w:pPr>
          </w:p>
        </w:tc>
        <w:tc>
          <w:tcPr>
            <w:tcW w:w="600" w:type="dxa"/>
            <w:vAlign w:val="bottom"/>
            <w:tcBorders>
              <w:bottom w:val="single" w:sz="8" w:color="0000FF"/>
            </w:tcBorders>
            <w:gridSpan w:val="4"/>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5"/>
          </w:tcPr>
          <w:p>
            <w:pPr>
              <w:spacing w:after="0" w:line="20" w:lineRule="exact"/>
              <w:rPr>
                <w:sz w:val="1"/>
                <w:szCs w:val="1"/>
                <w:color w:val="auto"/>
              </w:rPr>
            </w:pPr>
          </w:p>
        </w:tc>
        <w:tc>
          <w:tcPr>
            <w:tcW w:w="600" w:type="dxa"/>
            <w:vAlign w:val="bottom"/>
            <w:tcBorders>
              <w:bottom w:val="single" w:sz="8" w:color="0000FF"/>
            </w:tcBorders>
            <w:gridSpan w:val="4"/>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6. [Reserved]</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62</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7. Management’s Discussion and Analysis of Financial Condition and Results of Operations</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63</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98</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99</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3"/>
          </w:tcPr>
          <w:p>
            <w:pPr>
              <w:spacing w:after="0" w:line="20" w:lineRule="exact"/>
              <w:rPr>
                <w:sz w:val="1"/>
                <w:szCs w:val="1"/>
                <w:color w:val="auto"/>
              </w:rPr>
            </w:pPr>
          </w:p>
        </w:tc>
        <w:tc>
          <w:tcPr>
            <w:tcW w:w="760" w:type="dxa"/>
            <w:vAlign w:val="bottom"/>
            <w:tcBorders>
              <w:bottom w:val="single" w:sz="8" w:color="0000FF"/>
            </w:tcBorders>
            <w:gridSpan w:val="2"/>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169</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9A. Controls and Procedures</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171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171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960" w:type="dxa"/>
            <w:vAlign w:val="bottom"/>
            <w:tcBorders>
              <w:bottom w:val="single" w:sz="8" w:color="0000FF"/>
            </w:tcBorders>
            <w:gridSpan w:val="3"/>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3"/>
          </w:tcPr>
          <w:p>
            <w:pPr>
              <w:spacing w:after="0" w:line="20" w:lineRule="exact"/>
              <w:rPr>
                <w:sz w:val="1"/>
                <w:szCs w:val="1"/>
                <w:color w:val="auto"/>
              </w:rPr>
            </w:pPr>
          </w:p>
        </w:tc>
        <w:tc>
          <w:tcPr>
            <w:tcW w:w="760" w:type="dxa"/>
            <w:vAlign w:val="bottom"/>
            <w:tcBorders>
              <w:bottom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FF"/>
              </w:rPr>
              <w:t>PART III</w:t>
            </w:r>
          </w:p>
        </w:tc>
        <w:tc>
          <w:tcPr>
            <w:tcW w:w="2560" w:type="dxa"/>
            <w:vAlign w:val="bottom"/>
          </w:tcPr>
          <w:p>
            <w:pPr>
              <w:spacing w:after="0"/>
              <w:rPr>
                <w:sz w:val="24"/>
                <w:szCs w:val="24"/>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172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10. Directors, Executive Officers and Corporate Governance</w:t>
            </w:r>
          </w:p>
        </w:tc>
        <w:tc>
          <w:tcPr>
            <w:tcW w:w="2560" w:type="dxa"/>
            <w:vAlign w:val="bottom"/>
          </w:tcPr>
          <w:p>
            <w:pPr>
              <w:spacing w:after="0"/>
              <w:rPr>
                <w:sz w:val="24"/>
                <w:szCs w:val="24"/>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172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960" w:type="dxa"/>
            <w:vAlign w:val="bottom"/>
            <w:tcBorders>
              <w:bottom w:val="single" w:sz="8" w:color="0000FF"/>
            </w:tcBorders>
            <w:gridSpan w:val="3"/>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840" w:type="dxa"/>
            <w:vAlign w:val="bottom"/>
            <w:tcBorders>
              <w:bottom w:val="single" w:sz="8" w:color="0000FF"/>
            </w:tcBorders>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178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185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1180" w:type="dxa"/>
            <w:vAlign w:val="bottom"/>
            <w:tcBorders>
              <w:bottom w:val="single" w:sz="8" w:color="0000FF"/>
            </w:tcBorders>
            <w:gridSpan w:val="5"/>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80" w:type="dxa"/>
            <w:vAlign w:val="bottom"/>
            <w:tcBorders>
              <w:bottom w:val="single" w:sz="8" w:color="0000FF"/>
            </w:tcBorders>
            <w:gridSpan w:val="6"/>
          </w:tcPr>
          <w:p>
            <w:pPr>
              <w:spacing w:after="0" w:line="20" w:lineRule="exact"/>
              <w:rPr>
                <w:sz w:val="1"/>
                <w:szCs w:val="1"/>
                <w:color w:val="auto"/>
              </w:rPr>
            </w:pPr>
          </w:p>
        </w:tc>
        <w:tc>
          <w:tcPr>
            <w:tcW w:w="1660" w:type="dxa"/>
            <w:vAlign w:val="bottom"/>
            <w:tcBorders>
              <w:bottom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188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1180" w:type="dxa"/>
            <w:vAlign w:val="bottom"/>
            <w:tcBorders>
              <w:bottom w:val="single" w:sz="8" w:color="0000FF"/>
            </w:tcBorders>
            <w:gridSpan w:val="5"/>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80" w:type="dxa"/>
            <w:vAlign w:val="bottom"/>
            <w:tcBorders>
              <w:bottom w:val="single" w:sz="8" w:color="0000FF"/>
            </w:tcBorders>
            <w:gridSpan w:val="6"/>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14. Principal Accountant Fees and Services</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192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1180" w:type="dxa"/>
            <w:vAlign w:val="bottom"/>
            <w:tcBorders>
              <w:bottom w:val="single" w:sz="8" w:color="0000FF"/>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2560" w:type="dxa"/>
            <w:vAlign w:val="bottom"/>
          </w:tcPr>
          <w:p>
            <w:pPr>
              <w:spacing w:after="0"/>
              <w:rPr>
                <w:sz w:val="24"/>
                <w:szCs w:val="24"/>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193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Borders>
              <w:bottom w:val="single" w:sz="8" w:color="0000FF"/>
            </w:tcBorders>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15. Exhibits and Financial Statement Schedules</w:t>
            </w:r>
          </w:p>
        </w:tc>
        <w:tc>
          <w:tcPr>
            <w:tcW w:w="2560" w:type="dxa"/>
            <w:vAlign w:val="bottom"/>
          </w:tcPr>
          <w:p>
            <w:pPr>
              <w:spacing w:after="0"/>
              <w:rPr>
                <w:sz w:val="24"/>
                <w:szCs w:val="24"/>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193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tcBorders>
              <w:bottom w:val="single" w:sz="8" w:color="0000FF"/>
            </w:tcBorders>
            <w:gridSpan w:val="5"/>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1460" w:type="dxa"/>
            <w:vAlign w:val="bottom"/>
            <w:tcBorders>
              <w:bottom w:val="single" w:sz="8" w:color="0000FF"/>
            </w:tcBorders>
            <w:gridSpan w:val="6"/>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782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2560" w:type="dxa"/>
            <w:vAlign w:val="bottom"/>
          </w:tcPr>
          <w:p>
            <w:pPr>
              <w:spacing w:after="0"/>
              <w:rPr>
                <w:sz w:val="17"/>
                <w:szCs w:val="17"/>
                <w:color w:val="auto"/>
              </w:rPr>
            </w:pPr>
          </w:p>
        </w:tc>
        <w:tc>
          <w:tcPr>
            <w:tcW w:w="24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198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tcBorders>
              <w:bottom w:val="single" w:sz="8" w:color="0000FF"/>
            </w:tcBorders>
            <w:gridSpan w:val="5"/>
          </w:tcPr>
          <w:p>
            <w:pPr>
              <w:spacing w:after="0" w:line="20" w:lineRule="exact"/>
              <w:rPr>
                <w:sz w:val="1"/>
                <w:szCs w:val="1"/>
                <w:color w:val="auto"/>
              </w:rPr>
            </w:pPr>
          </w:p>
        </w:tc>
        <w:tc>
          <w:tcPr>
            <w:tcW w:w="940" w:type="dxa"/>
            <w:vAlign w:val="bottom"/>
            <w:tcBorders>
              <w:bottom w:val="single" w:sz="8" w:color="0000FF"/>
            </w:tcBorders>
            <w:gridSpan w:val="10"/>
          </w:tcPr>
          <w:p>
            <w:pPr>
              <w:spacing w:after="0" w:line="20" w:lineRule="exact"/>
              <w:rPr>
                <w:sz w:val="1"/>
                <w:szCs w:val="1"/>
                <w:color w:val="auto"/>
              </w:rPr>
            </w:pPr>
          </w:p>
        </w:tc>
        <w:tc>
          <w:tcPr>
            <w:tcW w:w="5840" w:type="dxa"/>
            <w:vAlign w:val="bottom"/>
            <w:gridSpan w:val="16"/>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w w:val="98"/>
              </w:rPr>
              <w:t>SIGNATURES</w:t>
            </w:r>
          </w:p>
        </w:tc>
        <w:tc>
          <w:tcPr>
            <w:tcW w:w="6780" w:type="dxa"/>
            <w:vAlign w:val="bottom"/>
            <w:gridSpan w:val="26"/>
          </w:tcPr>
          <w:p>
            <w:pPr>
              <w:spacing w:after="0"/>
              <w:rPr>
                <w:sz w:val="24"/>
                <w:szCs w:val="24"/>
                <w:color w:val="auto"/>
              </w:rPr>
            </w:pPr>
          </w:p>
        </w:tc>
        <w:tc>
          <w:tcPr>
            <w:tcW w:w="2560" w:type="dxa"/>
            <w:vAlign w:val="bottom"/>
          </w:tcPr>
          <w:p>
            <w:pPr>
              <w:spacing w:after="0"/>
              <w:rPr>
                <w:sz w:val="24"/>
                <w:szCs w:val="24"/>
                <w:color w:val="auto"/>
              </w:rPr>
            </w:pPr>
          </w:p>
        </w:tc>
        <w:tc>
          <w:tcPr>
            <w:tcW w:w="820" w:type="dxa"/>
            <w:vAlign w:val="bottom"/>
            <w:gridSpan w:val="6"/>
          </w:tcPr>
          <w:p>
            <w:pPr>
              <w:jc w:val="center"/>
              <w:ind w:right="580"/>
              <w:spacing w:after="0"/>
              <w:rPr>
                <w:sz w:val="20"/>
                <w:szCs w:val="20"/>
                <w:color w:val="auto"/>
              </w:rPr>
            </w:pPr>
            <w:r>
              <w:rPr>
                <w:rFonts w:ascii="Times New Roman" w:cs="Times New Roman" w:eastAsia="Times New Roman" w:hAnsi="Times New Roman"/>
                <w:sz w:val="16"/>
                <w:szCs w:val="16"/>
                <w:color w:val="0000FF"/>
                <w:w w:val="99"/>
              </w:rPr>
              <w:t>199</w:t>
            </w:r>
          </w:p>
        </w:tc>
        <w:tc>
          <w:tcPr>
            <w:tcW w:w="0" w:type="dxa"/>
            <w:vAlign w:val="bottom"/>
          </w:tcPr>
          <w:p>
            <w:pPr>
              <w:spacing w:after="0"/>
              <w:rPr>
                <w:sz w:val="1"/>
                <w:szCs w:val="1"/>
                <w:color w:val="auto"/>
              </w:rPr>
            </w:pPr>
          </w:p>
        </w:tc>
      </w:tr>
      <w:tr>
        <w:trPr>
          <w:trHeight w:val="873"/>
        </w:trPr>
        <w:tc>
          <w:tcPr>
            <w:tcW w:w="60" w:type="dxa"/>
            <w:vAlign w:val="bottom"/>
          </w:tcPr>
          <w:p>
            <w:pPr>
              <w:spacing w:after="0"/>
              <w:rPr>
                <w:sz w:val="24"/>
                <w:szCs w:val="24"/>
                <w:color w:val="auto"/>
              </w:rPr>
            </w:pPr>
          </w:p>
        </w:tc>
        <w:tc>
          <w:tcPr>
            <w:tcW w:w="1040" w:type="dxa"/>
            <w:vAlign w:val="bottom"/>
            <w:tcBorders>
              <w:top w:val="single" w:sz="8" w:color="0000FF"/>
            </w:tcBorders>
            <w:gridSpan w:val="5"/>
          </w:tcPr>
          <w:p>
            <w:pPr>
              <w:spacing w:after="0"/>
              <w:rPr>
                <w:sz w:val="24"/>
                <w:szCs w:val="24"/>
                <w:color w:val="auto"/>
              </w:rPr>
            </w:pPr>
          </w:p>
        </w:tc>
        <w:tc>
          <w:tcPr>
            <w:tcW w:w="5300" w:type="dxa"/>
            <w:vAlign w:val="bottom"/>
            <w:gridSpan w:val="23"/>
          </w:tcPr>
          <w:p>
            <w:pPr>
              <w:jc w:val="right"/>
              <w:ind w:right="7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Annual Report on Form 10-K of Sonder Holdings Inc. (“we” or “us”)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 contained in this Annual Report on Form 10-K include, but are not limited to, statements about:</w:t>
      </w:r>
    </w:p>
    <w:p>
      <w:pPr>
        <w:spacing w:after="0" w:line="232" w:lineRule="exact"/>
        <w:rPr>
          <w:sz w:val="20"/>
          <w:szCs w:val="20"/>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achieving positive free cash flow;</w:t>
      </w:r>
    </w:p>
    <w:p>
      <w:pPr>
        <w:spacing w:after="0" w:line="27"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6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operating and growth forecasts and projections, including our focus on cost reductions and our anticipated reductions in cash burn, including the estimated annualized cost savings from reductions in force and our portfolio optimization program;</w:t>
      </w: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for our business, revenue, expenses, results of operations, financial condition, and cash flows;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license agreement with Marriott International (“Marriott”) announced on August 19, 2024 (the “Marriott Agreement”), including the timing of the integration of our properties, the anticipated benefits of the agreement, and other plans and expectations related to the Marriott relationship;</w:t>
      </w:r>
    </w:p>
    <w:p>
      <w:pPr>
        <w:ind w:left="580" w:right="20" w:hanging="288"/>
        <w:spacing w:after="0" w:line="255" w:lineRule="auto"/>
        <w:tabs>
          <w:tab w:leader="none" w:pos="57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conclusion regarding its substantial doubt about the Company’s ability to continue as a going concern, and the related mitigation plans, including any impact on our key stakeholder relationships;</w:t>
      </w:r>
    </w:p>
    <w:p>
      <w:pPr>
        <w:ind w:left="580" w:right="20" w:hanging="288"/>
        <w:spacing w:after="0" w:line="255" w:lineRule="auto"/>
        <w:tabs>
          <w:tab w:leader="none" w:pos="57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optimization program, including lease renegotiation efforts, potential lease amendments, and the scope and timing of property exits, and their potential effects on our portfolio, results of operations, and cash flow, including any anticipated cost savings;</w:t>
      </w: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maintain profitability in the future;</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trends in the travel and hospitality industries;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pricing and revenue management strategies, pricing and occupancy forecasts and anticipated trends, and expectations about demand elasticity;</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concerning future transaction structures and the anticipated rent, rent abatement, capital expenditure provisions, and other terms of our future leases;</w:t>
      </w:r>
    </w:p>
    <w:p>
      <w:pPr>
        <w:spacing w:after="0" w:line="196"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ancillary revenue opportunities and our ability to improve our revenue management capabilities;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2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capital expenditure obligations, including expectations for real estate owners’ funding of capital expenditures and other pre-opening costs at our leased properties;</w:t>
      </w:r>
    </w:p>
    <w:p>
      <w:pPr>
        <w:ind w:left="580" w:right="20" w:hanging="288"/>
        <w:spacing w:after="0" w:line="255" w:lineRule="auto"/>
        <w:tabs>
          <w:tab w:leader="none" w:pos="60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adequacy of our capital resources, the availability of future financing or other capital resources, and the anticipated use of proceeds from any financings;</w:t>
      </w:r>
    </w:p>
    <w:p>
      <w:pPr>
        <w:spacing w:after="0" w:line="196"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trends in corporate travel and the potential for additional group and corporate travel revenue;</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occupancy rates and expectations about guests’ average length of stay;</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anticipate and satisfy guest demands, including through the introduction of new features, amenities or services;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about our geographic market mix and product mix between hotels and apartments, and their impact on our financial results;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about employee relations and our ability to attract and retain qualified personnel;</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6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roll out additional features, amenities and technologies, and our beliefs about the positive impact of our technology investments on our brand and financial results;</w:t>
      </w: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advantage and anticipated differentiation in cost structure and guest experience compared to other accommodation providers;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for increased cost efficiencies and technological improvements;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and plans for expanding in existing and new markets and accommodation categories;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w:t>
      </w:r>
    </w:p>
    <w:p>
      <w:pPr>
        <w:ind w:left="580" w:right="20" w:hanging="288"/>
        <w:spacing w:after="0" w:line="271" w:lineRule="auto"/>
        <w:tabs>
          <w:tab w:leader="none" w:pos="57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about our relationships with third-party distribution channels and indirect channels, and the percentage of future revenue attributable to bookings through indirect channels;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580" w:hanging="288"/>
        <w:spacing w:after="0" w:line="265" w:lineRule="auto"/>
        <w:tabs>
          <w:tab w:leader="none" w:pos="5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seasonality and other variations in our results of operations from period-to-period, including statements about anticipated Revenue per Available Room (“RevPAR”) in specified quarters;</w:t>
      </w:r>
    </w:p>
    <w:p>
      <w:pPr>
        <w:spacing w:after="0" w:line="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effects of public health crises;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meeting the listing standards of Nasdaq;</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assessments and beliefs regarding the timing and outcome of pending legal proceedings and any liability that we may incur as a result of those proceedings;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assessments and estimates that determine our effective tax rate and regarding any tax-related audits or other tax proceedings; and</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expectations, beliefs, plans, strategies, anticipated developments, and other matters that are not historical facts.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caution you that the foregoing list may not contain all of the forward-looking statements made in this Annual Report on Form 10-K.</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See the section entitled “Risk Factors” herein for a discussion of certain factors that could cause actual results to differ materially from those expressed in our forward-looking statements. Additional factors that could cause results or performance to differ materially from those expressed in our forward-looking statements are detailed in other filings we may make with the Securities and Exchange Commission (“SEC”), copies of which are available at no charge as set forth under Item 1. “Business-Available Information” below.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Background</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As described in the Company’s Current Report on Form 8-K filed with the SEC on March 15, 2024, on March 14, 2024, the Audit Committee (the “Audit Committee”) of the Board of Directors of the Company determined, based on management’s recommendation, that the Company’s previously issued audited consolidated financial statements for the year ended December 31, 2022 (the “2022 Annual Financial Statements”), and the unaudited condensed consolidated financial statements included in each of the Company’s quarterly reports on Form 10-Q filed with the SEC in 2023 (collectively with the 2022 Annual Financial Statements, the “Affected Financial Statements”), should no longer be relied upon.</w:t>
      </w:r>
    </w:p>
    <w:p>
      <w:pPr>
        <w:spacing w:after="0" w:line="18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Additionally, the Company determined any previously issued or filed reports, earnings releases, and investor presentations or other communications including or describing the Affected Financial Statements and related financial information covering the Affected Financial Statements should no longer be relied upon.</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has previously identified and reported material weaknesses in internal controls over financial reporting related to the Company’s leases, control activities and control environment. During the preparation of the Company’s financial statements for the year ended December 31, 2023, the Company’s management identified specific errors in the processes and procedures surrounding the Company’s assessment of the valuation and impairment of its right-of-use (“ROU”) lease assets and related items. Management identified a material weakness in its controls related to this matter, which is included in Part II, Item 9A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Previously Issued Consolidated Financial Statements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This Annual Report on Form 10-K for the year ended December 31, 2023 includes consolidated financial statements as of and for the years ended December 31, 2023, 2022 and 2021, as well as the relevant unaudited interim financial information for the quarterly periods in the years ended December 31, 2023 and 2022. The Company has restated certain information within this Annual Report on Form 10-K, including the consolidated financial statements as of and for the year ended December 31, 2022, and the relevant unaudited interim financial information for the quarterly periods in 2022 and 2023. In addition to the restatement errors described above, the Company has also corrected certain items that were previously identified and determined to be immaterial, individually and in the aggregate, to the consolidated financial statements for the year ended December 31, 2022 and the interim financial information for the quarterly periods in 2022 and 2023.</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Additionally, the Company identified certain adjustments which were previously corrected out of period in the year ended December 31, 2022 but which related to activity occurring in the year ended December 31, 2021. In the context of its current restatement of the year ended December 31, 2022, the Company has also restated the year ended December 31, 2021 to reflect correction for these adjustments and has marked the impacted financial statements for the year ended December 31, 2021 as ‘Restated’ to highlight the correction of these immaterial errors. The Company considers its restatement to the year ended December 31, 2021 to be immaterial as defined in Accounting Standards Codification (“ASC”) 250,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and related standards and interpretations.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See Note 2, </w:t>
      </w:r>
      <w:r>
        <w:rPr>
          <w:rFonts w:ascii="Times New Roman" w:cs="Times New Roman" w:eastAsia="Times New Roman" w:hAnsi="Times New Roman"/>
          <w:sz w:val="16"/>
          <w:szCs w:val="16"/>
          <w:i w:val="1"/>
          <w:iCs w:val="1"/>
          <w:color w:val="auto"/>
        </w:rPr>
        <w:t>Restatement of Previously Issued Financial Statements</w:t>
      </w:r>
      <w:r>
        <w:rPr>
          <w:rFonts w:ascii="Times New Roman" w:cs="Times New Roman" w:eastAsia="Times New Roman" w:hAnsi="Times New Roman"/>
          <w:sz w:val="16"/>
          <w:szCs w:val="16"/>
          <w:color w:val="auto"/>
        </w:rPr>
        <w:t xml:space="preserve">, to the Consolidated Financial Statements included within Part II, Item 8 of this Annual Report on Form 10-K for additional information regarding the 2022 and 2021 Consolidated Financial Statements restatement, including descriptions of the errors and the impact to our consolidated financial statements. In addition, see Note 19, </w:t>
      </w:r>
      <w:r>
        <w:rPr>
          <w:rFonts w:ascii="Times New Roman" w:cs="Times New Roman" w:eastAsia="Times New Roman" w:hAnsi="Times New Roman"/>
          <w:sz w:val="16"/>
          <w:szCs w:val="16"/>
          <w:i w:val="1"/>
          <w:iCs w:val="1"/>
          <w:color w:val="auto"/>
        </w:rPr>
        <w:t>Restatement of Quarterly Results (Unaudited),</w:t>
      </w:r>
      <w:r>
        <w:rPr>
          <w:rFonts w:ascii="Times New Roman" w:cs="Times New Roman" w:eastAsia="Times New Roman" w:hAnsi="Times New Roman"/>
          <w:sz w:val="16"/>
          <w:szCs w:val="16"/>
          <w:color w:val="auto"/>
        </w:rPr>
        <w:t xml:space="preserve"> to the Consolidated Financial Statements included within Part II, Item 8 of this Annual Report on Form 10-K for additional information regarding our restatement of unaudited interim condensed consolidated financial statements for the 2022 and 2023 quarterly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on Internal Controls over Financial Reporting</w:t>
      </w:r>
    </w:p>
    <w:p>
      <w:pPr>
        <w:spacing w:after="0" w:line="23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This Annual Report on Form 10-K also includes disclosures regarding the impact of the restatement on the effectiveness of our internal control over financial reporting and disclosure controls and procedures in Part II, Item 9A.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Reliance on Prior Consolidated Financial Statements</w:t>
      </w:r>
    </w:p>
    <w:p>
      <w:pPr>
        <w:spacing w:after="0" w:line="23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Company has not amended and does not plan to amend its previously filed Annual Reports on Form 10-K or Quarterly Reports on Form 10-Q for the periods affected by the restatement. The information that has been previously filed or otherwise reported for these periods is superseded by the information in this Form 10-K.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over 40 markets, spanning ten countries and three continents. The Sonder app gives guests full control over their stay. Complete with self-service features, simple check-in and 24/7 on-the-ground support, amenities and services at Sonder are just a tap away, making a world of better stays open to all. In summer 2024, the company announced a strategic licensing agreement with Marriott International.</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work directly with real estate owners to lease properties that meet our standards, furnish and decorate them to provide a design-led, technology-enabled experience, and then make them available for guests to book directly (through the Sonder app, our website, or our sales personnel) or through indirect channels (such as Airbnb, Expedia, Booking.com, and other online travel agencies). We manage our properties using proprietary and third-party technologies and deliver services to guests via the Sonder app and 24/7 on-the-ground support. Our mobile-first guest experience, from check-in to check-out, is supported by the Sonder app. Incorporating technology into all aspects of the business, we offer consistent quality at a compelling value to our guests.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accommodations come in a variety of shapes and sizes to suit guests’ needs – from a multiple-bedroom apartment with fully-equipped kitchen and private laundry facilities, to a hotel room or suite. Our diverse product portfolio serves various traveler types, including leisure travelers, families, digital nomads, and business travelers. Our interior designers and other teams take pride in bringing inspiring spaces to life throughout our portfolio.</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to modern design, we apply technology across our business. Our guest-facing technology leads guests through their entire Sonder experience, beginning with easy, intuitive browsing of our full portfolio and reserving a unit, to in-app check-in and requests for intra-stay cleans, early check-in or other services. Technology also underpins our hospitality operations, from underwriting and supply growth, to building openings, pricing and revenue management, demand generation, interior design, and day-to-day operations. By leveraging technology, our goal is to reduce operating costs and provide both a better guest experience and a compelling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Guest Experience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strive to deliver a better way to stay through technology and design and put the guest experience at the center of everything we do.</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reimagined the guest journey based on a belief that the ubiquity of mobile devices provides an opportunity to modernize the traveler’s entire experience, alongside the anticipation of guest needs and a design-focused experience. Our mobile-first guest experience, from check-in to check-out, is supported by the Sonder app, regardless of how a guest books their stay. All guests are encouraged to download and use the Sonder app to interact with our services and enhance their stay, but use of the Sonder app is not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Sonder app puts the “lobby on your phone” and empowers guests to seamlessly navigate their entire journey, from booking through check-out. This includes:</w:t>
      </w:r>
    </w:p>
    <w:p>
      <w:pPr>
        <w:spacing w:after="0" w:line="230" w:lineRule="exact"/>
        <w:rPr>
          <w:sz w:val="20"/>
          <w:szCs w:val="20"/>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Search, Discovery &amp; Booking</w:t>
      </w:r>
      <w:r>
        <w:rPr>
          <w:rFonts w:ascii="Times New Roman" w:cs="Times New Roman" w:eastAsia="Times New Roman" w:hAnsi="Times New Roman"/>
          <w:sz w:val="16"/>
          <w:szCs w:val="16"/>
          <w:color w:val="auto"/>
        </w:rPr>
        <w:t>: Easy, intuitive browsing and booking of any unit in our portfolio;</w:t>
      </w:r>
    </w:p>
    <w:p>
      <w:pPr>
        <w:spacing w:after="0" w:line="2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Check-In</w:t>
      </w:r>
      <w:r>
        <w:rPr>
          <w:rFonts w:ascii="Times New Roman" w:cs="Times New Roman" w:eastAsia="Times New Roman" w:hAnsi="Times New Roman"/>
          <w:sz w:val="16"/>
          <w:szCs w:val="16"/>
          <w:color w:val="auto"/>
        </w:rPr>
        <w:t>: Virtual check-in, online receipt of access instructions, and the ability to request a paid early check-in directly through the Sonder app;</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One-Touch WiFi</w:t>
      </w:r>
      <w:r>
        <w:rPr>
          <w:rFonts w:ascii="Times New Roman" w:cs="Times New Roman" w:eastAsia="Times New Roman" w:hAnsi="Times New Roman"/>
          <w:sz w:val="16"/>
          <w:szCs w:val="16"/>
          <w:color w:val="auto"/>
        </w:rPr>
        <w:t>: In-app, one-touch connections to our speedy WiFi;</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Digital Concierge</w:t>
      </w:r>
      <w:r>
        <w:rPr>
          <w:rFonts w:ascii="Times New Roman" w:cs="Times New Roman" w:eastAsia="Times New Roman" w:hAnsi="Times New Roman"/>
          <w:sz w:val="16"/>
          <w:szCs w:val="16"/>
          <w:color w:val="auto"/>
        </w:rPr>
        <w:t>: Curated localized recommendations, available through the app;</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Customer Service On Demand</w:t>
      </w:r>
      <w:r>
        <w:rPr>
          <w:rFonts w:ascii="Times New Roman" w:cs="Times New Roman" w:eastAsia="Times New Roman" w:hAnsi="Times New Roman"/>
          <w:sz w:val="16"/>
          <w:szCs w:val="16"/>
          <w:color w:val="auto"/>
        </w:rPr>
        <w:t>: App-based service requests;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Check-out</w:t>
      </w:r>
      <w:r>
        <w:rPr>
          <w:rFonts w:ascii="Times New Roman" w:cs="Times New Roman" w:eastAsia="Times New Roman" w:hAnsi="Times New Roman"/>
          <w:sz w:val="16"/>
          <w:szCs w:val="16"/>
          <w:color w:val="auto"/>
        </w:rPr>
        <w:t>: In-app requests for paid late check-out and information regarding on- and off-premises baggage storage.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While our guest experience is primarily contactless and self-service, our guest services team can be reached 24/7 through the Sonder app, by telephone, text/WhatsApp, and email. For any requests requiring in-person support, we have local team members on the ground in each of our cities.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We also bring a passion for design and creativity to our guests’ experiences. We take pride in the spaces we bring to life through our interdisciplinary teams and external partnerships spanning architecture, product and service design, graphic communications, and more. Our properties have been featured in publications including </w:t>
      </w:r>
      <w:r>
        <w:rPr>
          <w:rFonts w:ascii="Times New Roman" w:cs="Times New Roman" w:eastAsia="Times New Roman" w:hAnsi="Times New Roman"/>
          <w:sz w:val="16"/>
          <w:szCs w:val="16"/>
          <w:i w:val="1"/>
          <w:iCs w:val="1"/>
          <w:color w:val="auto"/>
        </w:rPr>
        <w:t>Apartment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Therapy, Condé Nast Traveler, Forbes, Good Housekeeping, House Beautiful, National Geographic, Rolling Stone, and Travel + Leisure</w:t>
      </w:r>
      <w:r>
        <w:rPr>
          <w:rFonts w:ascii="Times New Roman" w:cs="Times New Roman" w:eastAsia="Times New Roman" w:hAnsi="Times New Roman"/>
          <w:sz w:val="16"/>
          <w:szCs w:val="16"/>
          <w:color w:val="auto"/>
        </w:rPr>
        <w:t>. Fully equipped kitchens, extra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living space, and private laundry facilities are available in many of our apartment-style spaces, providing our guests a wide variety of options whether traveling for leisure or business, individually or as a group.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of December 31, 2023, we had over 12,200 Live Units across 44 cities and 10 countries, with over 3,700 additional Contracted Units. At December 31, 2023, our five largest cities (New York City, Mexico City, Dubai, Los Angeles, and Philadelphia) accounted for 35.4% of our Live Units, and our 10 largest cities accounted for 56.8% of our Live Units.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properties include 1-, 2-, and 3+ bedroom and studio furnished apartments, nearly all of which include in-unit laundry appliances and fully stocked kitchens, as well as thoughtfully designed studio and 1-bedroom hotel rooms. The majority of our Live and Contracted Units (“Total Portfolio”) consist of commercial or mixed use apartment developments ranging from small 10 or 20 unit buildings to modern 300+ unit towers, with larger buildings comprising an increasing proportion of our apartment portfolio in recent years. Over the past few years, we have gone from leasing portions of buildings to now primarily focusing on leasing full buildings going forward. A smaller, but growing proportion of our portfolio consists of hotels, where we have partnered with independent hotel property owners to convert existing properties into Sonder-branded or co-branded hotels, putting a modern spin on the traditional hotel, with inspiring design and tech-enabled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Optimization Program</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November 2023, we implemented a portfolio optimization program to mitigate losses related to certain underperforming properties and to assess the Company’s portfolio of rents relative to current operations and existing market rents. As described in the Company’s Current Report on Form 8-K filed with the SEC on June 11, 2024, as of June 10, 2024, we had signed agreements to exit or reduce rent for approximately 105 buildings, or 4,300 units. Of the approximately 80 buildings, or 3,200 units, with finalized exit agreements, we had already exited approximately 60 buildings, or 2,300 units, as of June 10, 2024. We expect to exit the remaining buildings throughout the remainder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we had approximately 10,300 Live Units and 1,800 Contracted Units, and we leased and operated properties in 46 cities and 10 countries.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Demand Generation and Revenue Management</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generate a majority of our demand by listing our units on internet-based accommodations marketplaces and on websites operated by online travel agencies (“OTAs”). OTAs are paid a percentage channel fee for each Sonder stay booked on their platform. Today, the primary OTAs that travelers use to book our units are Airbnb, Booking.com and Expedia, with 49.4% of 2023 revenue coming through these three OTAs and 49.7% in 2022.</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also generate a substantial percentage of revenue directly through Sonder.com, the Sonder app, or our sales personnel. Direct bookings accounted for approximately 47.0% of total revenue in 2023 and 47.7% in 2022. We derive direct bookings from performance marketing, repeat bookings, and other organic traffic on Sonder.com. In the last few years, we have also developed a sales team to focus on corporate and group travel. These are typically significant revenue sources for urban hotels, but they have not been as much of a revenue source for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Data-Driven Revenue Management</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revenue management team uses analytics and data science to optimize pricing and occupancy levels. This includes software that enables our revenue managers to set pricing strategies on a market-by-market basis, taking into account the anticipated response of occupancy rates to pricing changes. We have built pricing automation technology and a room attribution algorithm, which we use to create competitive and dynamic prices.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Ancillary Revenue Opportunities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To complement our typical guest stay revenue, we are continuing to explore opportunities to generate ancillary revenue from value-added services for additional fees. For example, we offer paid early check-in and late check-out at some of our properties. We are also exploring separate charges for room upgrades and value-added room amenities, such as guaranteed parking.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Marriott Agreement</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August 2024, we entered into the Marriott Agreement, pursuant to which our portfolio of properties is expected to join the Marriott system under a newly-created collection called “Sonder by Marriott Bonvoy.” As described in our Current Report on Form 8-K filed with the SEC on August 19, 2024, subject to the terms and conditions of the Marriott Agreement, our properties will become available for booking on Marriott’s digital platforms, including Marriott.com and the Marriott Bonvoy mobile app. We will also gain access to Marriott’s global sales and marketing capabilities and distribution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 and Transaction Process</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lease all of our properties, including both existing buildings and development projects. A majority of our leases are fixed leases, whereby we agree to a fixed periodic fee per unit, many times subject to negotiated rent escalations. We also offer flexible contract structures, including mixed lease structures, whereby we agree to pay the real estate owner a minimum fixed periodic fee, plus a certain share of property revenue, at times with a capped periodic amount, and revenue share agreements, whereby we agree to pay the real estate owner a variable fee based on revenue related metrics as specified in the agreement, rather than a fixed periodic fee.</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majority of our property leases have 5 to 7-year initial terms, with up to two 5-year renewals at our option. Our leases commonly include upfront rent abatement to offset the initial setup costs and revenue ramp for new units. They also frequently include downside protections, including partial rent relief in the event of a recession, regulatory changes, and force majeure events.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Additionally, in many of our leases, we have negotiated an upfront allowance paid by the real estate owner to help offset the capital invested to prepare and furnish the individual units and building common spaces. We are able to negotiate these allowances by offering real estate owners a higher expected yield on their investment, through future lease payments, compared to a deal without an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operations teams focus on servicing our guests. They also efficiently and effectively open new Sonder locations, and provide best practice playbooks for ongoing operations. The team includes both local service staff focused on guest service requests requiring in-person assistance and the opening of new locations, as well as central teams focused on supply chain, interior design, real estate development, guest service, and operational excellence.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Supply Chain</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the United States and Canada, we have built a streamlined global supply chain powered by warehouse and inventory management technology. Furniture, art, decor, linens, and other guest facing items are curated and sourced by our centralized sourcing and merchandising team, and initially stored in central warehouses for distribution to local properties. Typically, new buildings receive furniture and decor items all at once, as a full “hotel in a box.” In Europe, the Middle East and Mexico, we work with local providers to deliver a similar aesthetic and grade of product to deliver a high-quality guest experience, brand consistency, and fast deployment.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Location Openings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highly experienced on-the-ground teams focus on onboarding new properties quickly and efficiently. Before welcoming guests to a new property, our local teams ensure that the spaces are immaculately set up and well-photographed.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Day-to-Day Operations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day-to-day operations are delivered by central and locally based teams, powered by a combination of proprietary and third-party software, to address guests’ inquiries, issues, and requests quickly and effectively. Back-of-house teams such as housekeeping — both Sonder-employed and third-party providers — use software to help them deliver clean spaces and resolve any guest issues or requests that might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model, we operate in two highly competitive environments: (i) attracting guests; and (ii) securing desirable real estate supply.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 for Guests</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Travelers have many options as they search for a stay that best suits their needs. We compete for guests based on many factors, including the location and quality of accommodations, property amenities, reputation for guest services and guest-facing technologies, pricing, and brand loyalty. Within traditional hospitality, we have historically competed primarily with major incumbent operators in the upscale and upper upscale hotel segments, such as Marriott, Hilton, and Hyatt, who have built their brands and customer loyalty over several decades. We also compete against boutique hotel operators and smaller hotel chains, particularly in non-U.S. markets.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Guests are increasingly shifting their hospitality spend to alternative accommodation providers that offer differentiated, often home-like experiences at price points below that of traditional hotels. Within alternative accommodations, we compete with a wide variety of operators, many of which focus on a small number of markets. The alternative accommodation space also includes OTAs such as Airbnb, Vrbo (owned by Expedia Group), and other marketplaces, and various large internet-based companies that advertise vacation homes, home-shares, hotel rooms, and other travel services. While OTAs market and list competitors’ accommodations, they are also an important channel partner for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 for Real Estate Supply</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compete against various parties to lease potential new properties in our target markets. On the apartment side, we compete against other leasing styles (e.g., traditional lease-up to 12-month term tenants) as well as other short-term rental companies with similar business models to our own. On the hotel side, we primarily compete against traditional hotel property managers.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believe that we offer a compelling value proposition to the developers and owners of apartments and hotels. We provide apartment developers potentially superior economics by eliminating lengthy lease-up periods, minimizing sales and marketing costs, simplifying rent collections from a single master lessee, and removing many daily operational burdens. For independent hotel owners, we offer a steady stream of income while taking the operational headaches off their hands and applying technology and design to improve the property’s performance. We believe that we are the preferred counterparty of many of our partners due to our scaled operations and proven track record.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Regulatory Compliance</w:t>
      </w:r>
    </w:p>
    <w:p>
      <w:pPr>
        <w:spacing w:after="0" w:line="2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strategy includes rigorous attention to regulatory compliance, as our operations are subject to regulations in the following principal areas, across a wide variety of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Property and Accommodations Regulation</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business is subject to U.S. and foreign federal, state, and local laws and regulations that vary widely by city, country, and property type. In many cities, local regulations affect our ability to offer accommodations for specified durations or in certain neighborhoods. Hospitality and transient accommodations operations are also subject to compliance with the U.S. Americans with Disabilities Act and other laws and regulations relating to accessibility, and to laws, regulations, and standards in other areas such as zoning and land use, licensing, permitting and registrations, fire and life safety, environmental and other property condition matters, staffing and employee training, cleaning protocols, and property “star” ratings where required. Additionally, our real estate owners are responsible for their own compliance with laws, including with respect to their employees, property maintenance, and operations, environmental laws, and other matters.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Before signing any new leases in a new market, we engage local legal counsel to help identify relevant regulatory requirements. This research includes analysis on licensing and zoning, building code, accessibility and operations requirements, fire and life safety regulations, tax compliance, and local employment laws. Every leased property has unique characteristics, requiring further due diligence and regulatory analyses before each new lease signing.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and Data Protection Regulation</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the ordinary course of our business, we process personal or sensitive data, including information about guests and their stays. Accordingly, we are subject to numerous obligations related to our collection, processing and security of data, including federal, state, local, and foreign laws, regulations, guidance, and industry standards related to data privacy, security, and protection. Such obligations may include the European Union’s General Data Protection Regulation (“EU GDPR”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variations and implementations of that regulation in the member states of the European Union, the United Kingdom (“UK”) General Data Protection Regulation (“UK GDPR”) (collectively with the EU GDPR, “GDPR”), the Canadian Personal Information Protection and Electronic Documents Act (“PIPEDA”), as well as privacy, biometric, medical information, and data protection laws and regulations in various U.S. states and other jurisdictions, such as the California Consumer Privacy Act of 2018, as amended by the California Privacy Rights Act of 2020 (collectively, with their implementing regulations, the “CCPA”).</w:t>
      </w:r>
    </w:p>
    <w:p>
      <w:pPr>
        <w:spacing w:after="0" w:line="19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See the section titled “Risk Factors” in this report for additional information about the privacy, data protection, and related laws and regulations to which we are and may become subject and the risks to our business associated with such laws and regulations.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Employment Laws and Regulations</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are also subject to laws governing our relationship with employees, including laws governing wages and hours, benefits, immigration, workplace safety and health, and hotel-specific ordinances.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Accounting, and Nasdaq Regulation</w:t>
      </w:r>
    </w:p>
    <w:p>
      <w:pPr>
        <w:spacing w:after="0" w:line="22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We are subject to laws and regulations affecting corporate governance, accounting obligations, and corporate reporting, including the Exchange Act, the applicable requirements of the Sarbanes-Oxley Act of 2002 (the “Sarbanes-Oxley Act”), the rules and regulations of the SEC, and the listing standards of Nasdaq. See the section entitled “Risk Factors” in this report for a description of the previously disclosed notices that we have received from Nasdaq regarding the late filing of certain of our SEC reports.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Regulation</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Our business is subject to various other laws and regulations, involving matters such as income tax and other taxes, consumer protection, online messaging, advertising, and marketing, the U.S. Foreign Corrupt Practices Act and other laws governing bribery and other corrupt business activities, and regulations aimed at preventing money laundering or prohibiting business activities with specified countries or persons. As we expand into additional markets, especially outside of the U.S., we will be subject to additional laws and regulations.</w:t>
      </w:r>
    </w:p>
    <w:p>
      <w:pPr>
        <w:spacing w:after="0" w:line="18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regulatory environment in each market is often complex and evolving and can be subject to significant change. Some relevant laws and regulations are inconsistent and ambiguous and could be interpreted by regulators and courts in ways that could adversely affect our business, results of operations, financial condition, and cash flows. Moreover, certain laws and regulations have not historically been applied to an innovative hospitality provider such as Sonder, which often makes their application to our business uncertain. For additional information regarding the laws and regulations that affect our business, see the section entitled “Risk Factors” 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Social and Governance (“ESG”)</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understand the importance of responsible business practices, including attention to ESG matters, across the organization. Our ESG goal is to foster the social, environmental, and economic well-being of the communities we call home. Initial efforts include, among others, the publication of core corporate social responsibility policies, such as a Supplier Code of Conduct, Diversity, Equity, and Inclusion (“DEI”) Statement, Modern Slavery Act Statement, and Zero Tolerance policy reflected in the “house rules” applicable to guest stays. We have also implemented a policy granting time-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 to permit employees to engage in local U.S. elections, and a Volunteer Time Off Policy to facilitate employee volunteering.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Sonder Employees and Culture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As of December 31, 2023, we had 905 employees in the United States, and 737 employees located in 9 countries outside of the U.S. Our workforce consisted of 1,054 salaried and 588 hourly employees as of that date. Certain non-U.S. employees are currently represented by unions or covered by a collective bargaining agreement. See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to the consolidated financial statements included within Part II, Item 8 of this Annual Report on Form 10-K for additional information regarding our reduction in force (“RIF”) actions which took place in February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Culture</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people philosophy is to create a workplace where everyone can thrive. Our culture is defined by ten leadership principles, which are designed to ignite more innovation, to encourage agility and strategic thinking, to keep us inspired and coordinated, and be a better place to 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Diversity, Equity, and Inclusion</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“Extend hospitality to all” is one of our leadership principles. Living up to that principle means fully embracing diversity so that all of our employees, guests, partners, and communities feel safe, respected, included, cared for, and empowered. In accordance with our employment practices and non-discrimination and harassment policy, Sonder strives to create and maintain a work environment in which people are treated with dignity, decency, and respect, and is committed to providing a workplace free from discrimination, harassment, racism, sexism, intimidation, or violence of any kind.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rely on trademarks, domain names, copyrights, trade secrets, contractual provisions, and restrictions on access and use to establish and protect our proprietary rights.</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At December 31, 2023, we had 104 trademark registrations and pending applications, including registrations for “Sonder” in the United States, Canada and various other countries, applications and registrations for the Sonder bird logo in 27 countries, two applications and one registration for “SONDER in Chinese Characters” in China, and one application for “SANG DU in Chinese Characters” in China.</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 addition to trademark protection, we reserve and register domain names when and where deemed appropriate and are the registered holder of more than 80 domain names, including “sonder.com.”</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addition to the protection provided by our intellectual property rights, we enter into confidentiality and proprietary rights agreements with certain of our employees, consultants, contractors, and business partners. Certain employees and contractors are also subject to invention assignment agreements. We further control the use of our proprietary technology and intellectual property through provisions in the terms of use on our website and guest app.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Seasonality causes period-to-period variances in a particular property’s operating metrics, such as occupancy and pricing, depending upon seasonal factors, including but not limited to weather patterns, local events, and holidays, as well as property location and type. Our revenue per available room (“RevPAR”), and thus total company free cash flow, tend to be lower across our portfolio in the first quarter and fourth quarters of each year due to seasonal factors such as weather and holidays and the market mix and product mix of our portfolio at the time. However, the effect of seasonality will vary as our market mix and product mix continues to evolve. See Item 7. Management’s Discussion and Analysis of Financial Condition and Results of Operations,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were originally incorporated in Delaware on July 21, 2020 under the name “Gores Metropoulos II, Inc.” as a special purpose acquisition company, formed for the purpose of effecting an initial business combination with one or more target businesses. On January 22, 2021, we consummated our initial public offering. On January 18, 2022, we consummated a business combination with Sonder Operating Inc. f/k/a Sonder Holdings Inc. (“Legacy Sonder”), a privately held operating company (the “Business Combination”), and changed our name to Sonder Holdings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 Considerations</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In accordance with ASC Topic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Annual Report on Form 10-K.</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As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to the consolidated financial statements included in this Annual Report on Form 10-K,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While the 2024 actions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the Company’s management has concluded that there is substantial doubt, which is not alleviated, about the Company’s ability to continue as a going concern for at least one year from the date of issuance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address the substantial doubt about the Company's ability to continue as a going concern, as described above, the Company has embarked on the following actions:</w:t>
      </w:r>
    </w:p>
    <w:p>
      <w:pPr>
        <w:spacing w:after="0" w:line="232" w:lineRule="exact"/>
        <w:rPr>
          <w:sz w:val="20"/>
          <w:szCs w:val="20"/>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engaged a financial advisor to assist in identifying and securing strategic alternatives and financing arrangements,</w:t>
      </w:r>
    </w:p>
    <w:p>
      <w:pPr>
        <w:spacing w:after="0" w:line="27"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free cash flow improvements of over $40 million of which the Company expects termination fees of less than $20 million associated with these agreements; Of the approximately 80 buildings, or 3,200 units, with finalized exit agreements, the Company has already exited approximately 60 buildings, or 2,300 units, as of June 10, 2024 and expects to exit the remaining buildings throughout the remainder of 2024,</w:t>
      </w:r>
    </w:p>
    <w:p>
      <w:pPr>
        <w:spacing w:after="0" w:line="2" w:lineRule="exact"/>
        <w:rPr>
          <w:rFonts w:ascii="Times New Roman" w:cs="Times New Roman" w:eastAsia="Times New Roman" w:hAnsi="Times New Roman"/>
          <w:sz w:val="16"/>
          <w:szCs w:val="16"/>
          <w:color w:val="auto"/>
        </w:rPr>
      </w:pPr>
    </w:p>
    <w:p>
      <w:pPr>
        <w:jc w:val="both"/>
        <w:ind w:left="580" w:hanging="288"/>
        <w:spacing w:after="0" w:line="263"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spacing w:after="0" w:line="178"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the Marriott Agreement which allows us to integrate our properties with Marriott’s systems, distribution channels, and branding, and, subject to meeting certain conditions, entitles the Company to receive $15 million of Key Money in two tranches by March 31, 2025; This agreement provides the opportunity for the Company to increase its financial performance through the potential to increase revenue by integrating with Marriott’s commercial engine, deliver costs savings through synergies and scale and power future growth,</w:t>
      </w:r>
    </w:p>
    <w:p>
      <w:pPr>
        <w:spacing w:after="0" w:line="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financing from the Company’s existing noteholders in the amount of $16 million during June and July 2024, as previously announced,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financing arrangements that provide the Company with access to approximately $139 million in additional liquidity, including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1180" w:hanging="300"/>
        <w:spacing w:after="0" w:line="262" w:lineRule="auto"/>
        <w:tabs>
          <w:tab w:leader="none" w:pos="117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issuing approximately $43 million in Series A Convertible Preferred Stock to certain qualified institutional buyers or accredited investors, of which $14.7 million was received in August 2024 and commitments have been received to purchase an additional $28.6 million, subject to certain milestones and customary closing conditions,</w:t>
      </w:r>
    </w:p>
    <w:p>
      <w:pPr>
        <w:jc w:val="both"/>
        <w:ind w:left="1180" w:hanging="300"/>
        <w:spacing w:after="0" w:line="271" w:lineRule="auto"/>
        <w:tabs>
          <w:tab w:leader="none" w:pos="117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spacing w:after="0" w:line="172"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sources of liquidity totaling $13 million.</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Company’s management considered the mitigating effect of management’s plans in evaluating whether substantial doubt is alleviated. As previously discussed, the Company’s recent financing arrangements and licensing agreement are contingent upon the successful execution of a number of critical milestones, of which the timing of completion cannot be guaranteed to ensure liquidity is available when needed to meet the Company’s obligations. As a result of these considerations, the Company’s management has concluded that substantial doubt about the Company’s ability to continue as a going concern has not been alleviated for at least one year from the date of issuance of this Annual Report on Form 10-K.</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As a result of the potential Event of Default, the indebtedness related to our Delayed Draw Notes as of December 31, 2023 has been reclassified from long-term debt, net to current portion of long term-debt, net. These events could further limit our ability to obtain adequate or satisfactory financing when we require it, result in acceleration of the related debt, or cause other risks described in “Risk Factors—Risks Related to Indebtedness and Liquidity.”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website is www.sonder.com. We make available, free of charge, various information for investors on the Investor Relations page of our website, investors.sonder.com, including our annual reports on Form 10-K, quarterly reports on Form 10-Q, current reports on Form 8-K and any amendments to those reports, proxy statements and other information, as soon as reasonably practicable after we electronically file that material with, or furnish it to, the SEC. We also use the Investor Relations page of our website for purposes of compliance with Regulation FD and as a routine channel for distribution of important information, including blogs, news releases, investor presentations, financial information, and corporate governance practices. The information found on our website is not part of this or any other report we file with, or furnish to, the SEC. Our SEC filings are also available to the public at the SEC's website at http://www.sec.gov.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i w:val="1"/>
          <w:iCs w:val="1"/>
          <w:color w:val="auto"/>
        </w:rPr>
        <w:t>You should carefully review and consider the following risk factors and the other information contained in this report, including the section entitled “Management’s Discussion and Analysis of Financial Condition and Results of Operations” and our consolidated financial statements and related notes thereto included elsewhere in this report, in making an investment decision. Our business, results of operations, financial condition, cash flows, and prospects could also be harmed by risks and uncertainties not currently known to us or that we currently do not believe are material. If any of the risks actually occur, our business, results of operations, financial condition, cash flows, and prospects could be adversely affected. In that event, the market price of our common stock or other publicly traded securities could decline, and you could lose part or all of your investment. The occurrence of one or more of the events or circumstances described in these risk factors, alone or in combination with other events or circumstances, may have a material adverse effect on our business, results of operations, financial condition, and cash flows. The risks discussed below may not prove to be exhaustive and are based on certain assumptions made by us that later may prove to be incorrect or incomplete. We may face additional risks and uncertainties that are not presently known to us, or that are currently deemed immaterial, which may also impair our business, results of operations, financial condition, and cash flows. The following discussion should be read in conjunction with the financial statements and notes to the financial statements included herein.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 Summary</w:t>
      </w:r>
    </w:p>
    <w:p>
      <w:pPr>
        <w:spacing w:after="0" w:line="23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Below is a summary of the principal factors that could materially harm our business, results of operations, financial condition, and/or cash flows, impair our future prospects, or cause the price of our publicly traded securities to decline. This summary does not address all of the risks that we face. Additional discussion of the risks summarized in this risk factor summary, and other risks that we face, can be found below and should be carefully considered, together with other information in this Annual Report on Form 10-K and our other filings with the SEC, before making an investment decision regarding our securities.</w:t>
      </w:r>
    </w:p>
    <w:p>
      <w:pPr>
        <w:spacing w:after="0" w:line="185" w:lineRule="exact"/>
        <w:rPr>
          <w:sz w:val="20"/>
          <w:szCs w:val="20"/>
          <w:color w:val="auto"/>
        </w:rPr>
      </w:pPr>
    </w:p>
    <w:p>
      <w:pPr>
        <w:ind w:left="580" w:right="20" w:hanging="288"/>
        <w:spacing w:after="0" w:line="265" w:lineRule="auto"/>
        <w:tabs>
          <w:tab w:leader="none" w:pos="50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unsuccessful in achieving positive, sustainable Free Cash Flow, and our restructuring initiatives and portfolio optimization program may not provide the expected benefits and could adversely affect us.</w:t>
      </w:r>
    </w:p>
    <w:p>
      <w:pPr>
        <w:spacing w:after="0" w:line="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actual results may differ materially from our forecasts and projections.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results could be negatively affected by inflation and other macroeconomic factors and by changes in travel, hospitality, and real estate markets.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2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and uncertainties associated with the Marriott Agreement, including the risk that it does not provide the anticipated benefits or results in unexpected expenses or other adverse effects.</w:t>
      </w:r>
    </w:p>
    <w:p>
      <w:pPr>
        <w:ind w:left="580" w:right="20" w:hanging="288"/>
        <w:spacing w:after="0" w:line="255" w:lineRule="auto"/>
        <w:tabs>
          <w:tab w:leader="none" w:pos="57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negotiate satisfactory leases or other arrangements to operate new properties, amend existing leases, onboard new properties in a timely manner, or renew or replace existing properties on satisfactory terms or at all.</w:t>
      </w: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Newly leased properties may generate revenue later than we estimated and may be more difficult or expensive to integrate into our operations than expected.</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real estate development and construction projects could adversely affect our ability to generate revenue from the related leased properties.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operating history and evolving business make it difficult to evaluate our future prospects and challenges.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history of net losses, and we may not be able to achieve or maintain profitability in the future.</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landlords to deliver properties in a suitable condition and to manage and maintain them.</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lawsuits, and other proceedings relating to our leases could adversely affect our business, results of operations, financial condition, and cash flows.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and fixed-cost leases limit our operating flexibility and could adversely affect our liquidity.</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leases may be subject to termination prior to the scheduled expiration of the term, which can be disruptive and costly.</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long-term success depends, in part, on our ability to expand internationally, and our business is susceptible to risks associated with international operations.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effectively manage our growth.</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attract new guests or generate repeat bookings from previous guests.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on acceptance by guests and property owners of our distinctive type of hospitality services.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the highly competitive hospitality market.</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distribution channels have historically accounted for a substantial percentage of our bookings and business generated through such channels could adversely affect guest loyalty and poses other risks to us.</w:t>
      </w: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results of operations vary from period-to-period, and historical performance may not be indicative of future performance.</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measures we use to evaluate our operating performance may be subject to future adjustments.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1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our reputation and the strength of our brand, and any deterioration could adversely impact our market share, revenues, business, results of operations, financial condition, and cash flows.</w:t>
      </w:r>
    </w:p>
    <w:p>
      <w:pPr>
        <w:ind w:left="580" w:right="20" w:hanging="288"/>
        <w:spacing w:after="0" w:line="255" w:lineRule="auto"/>
        <w:tabs>
          <w:tab w:leader="none" w:pos="51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involved in and may in the future become involved in claims, lawsuits, and other proceedings that could adversely affect our business, results of operations, financial condition, and cash flows and our insurance may be inadequate to cover our losses.</w:t>
      </w: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liability or reputational damage for guests’ activities or other incidents and potential health and safety issues at our properties.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the risk of financial and reputational damage due to fraud.</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2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challenges in attracting and retaining key personnel and sufficient, highly skilled personnel, and are subject to risks, including unionized labor, associated with employment of hospitality personnel and the use of third-party contractors.</w:t>
      </w:r>
    </w:p>
    <w:p>
      <w:pPr>
        <w:ind w:left="580" w:right="20" w:hanging="288"/>
        <w:spacing w:after="0" w:line="271" w:lineRule="auto"/>
        <w:tabs>
          <w:tab w:leader="none" w:pos="5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and may in the future identify material weaknesses in our internal control over financial reporting or we may otherwise fail to maintain an effective system of internal controls, which may result in material misstatements of our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580" w:hanging="288"/>
        <w:spacing w:after="0" w:line="265" w:lineRule="auto"/>
        <w:tabs>
          <w:tab w:leader="none" w:pos="53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effective disclosure controls, our ability to produce timely and accurate financial statements or comply with applicable regulations could be impaired.</w:t>
      </w:r>
    </w:p>
    <w:p>
      <w:pPr>
        <w:spacing w:after="0" w:line="1" w:lineRule="exact"/>
        <w:rPr>
          <w:rFonts w:ascii="Times New Roman" w:cs="Times New Roman" w:eastAsia="Times New Roman" w:hAnsi="Times New Roman"/>
          <w:sz w:val="16"/>
          <w:szCs w:val="16"/>
          <w:color w:val="auto"/>
        </w:rPr>
      </w:pPr>
    </w:p>
    <w:p>
      <w:pPr>
        <w:ind w:left="580" w:hanging="288"/>
        <w:spacing w:after="0" w:line="255" w:lineRule="auto"/>
        <w:tabs>
          <w:tab w:leader="none" w:pos="64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related to the restatement of our previously issued financial statements, including risks associated with related litigation or other legal or governmental proceedings, the risk that additional accounting errors or corrections will be identified, and the possibility of additional delays in our SEC filings.</w:t>
      </w:r>
    </w:p>
    <w:p>
      <w:pPr>
        <w:ind w:left="580" w:hanging="288"/>
        <w:spacing w:after="0" w:line="255" w:lineRule="auto"/>
        <w:tabs>
          <w:tab w:leader="none" w:pos="5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not in compliance with Nasdaq’s listing requirements, and any failure to regain and maintain compliance with Nasdaq’s requirements could cause our common stock and publicly traded warrants to be delisted and could adversely affect our ability to raise capital and have other adverse effects on us.</w:t>
      </w: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could be harmed if we are unable to adapt to changes in technology.</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60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 parties for certain services and technologies, including payment processing, and any unavailability, failures or defects in these services or technologies, or any difficulties integrating them into our systems, could harm our business and results of operations.</w:t>
      </w:r>
    </w:p>
    <w:p>
      <w:pPr>
        <w:jc w:val="both"/>
        <w:ind w:left="580" w:hanging="288"/>
        <w:spacing w:after="0" w:line="271" w:lineRule="auto"/>
        <w:tabs>
          <w:tab w:leader="none" w:pos="55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processing, storage, use and disclosure of personal data expose us to risks of internal or external security breaches and has given rise and could give rise to claims, governmental investigations and penalties, other liabilities, increased costs including higher insurance premiums, damage to reputation, and/or reduced revenue.</w:t>
      </w:r>
    </w:p>
    <w:p>
      <w:pPr>
        <w:spacing w:after="0" w:line="172"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in our technologies, systems, and network infrastructure, or disruptions in Internet access or guests’ usage of mobile devices, could adversely affect us.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interruptions may increase our costs or reduce our revenues.</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health concerns, including but not limited to the COVID-19 pandemic and any future public health crises, may have a negative impact on us.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related to our intellectual property.</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relating to the opening, operation and maintenance of our leased properties could be higher than expected.</w:t>
      </w:r>
    </w:p>
    <w:p>
      <w:pPr>
        <w:spacing w:after="0" w:line="11" w:lineRule="exact"/>
        <w:rPr>
          <w:rFonts w:ascii="Times New Roman" w:cs="Times New Roman" w:eastAsia="Times New Roman" w:hAnsi="Times New Roman"/>
          <w:sz w:val="16"/>
          <w:szCs w:val="16"/>
          <w:color w:val="auto"/>
        </w:rPr>
      </w:pPr>
    </w:p>
    <w:p>
      <w:pPr>
        <w:ind w:left="520" w:hanging="228"/>
        <w:spacing w:after="0"/>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properties are concentrated in a limited number of cities, which increases our exposure to local factors affecting demand or hospitality operations.</w:t>
      </w:r>
    </w:p>
    <w:p>
      <w:pPr>
        <w:spacing w:after="0" w:line="11" w:lineRule="exact"/>
        <w:rPr>
          <w:rFonts w:ascii="Times New Roman" w:cs="Times New Roman" w:eastAsia="Times New Roman" w:hAnsi="Times New Roman"/>
          <w:sz w:val="16"/>
          <w:szCs w:val="16"/>
          <w:color w:val="auto"/>
        </w:rPr>
      </w:pPr>
    </w:p>
    <w:p>
      <w:pPr>
        <w:ind w:left="500" w:hanging="208"/>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introduce upgraded amenities, services or features for our guests in a timely and cost-efficient manner.</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6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governmental regulations, such as securities regulations, anti-bribery laws, import/export controls (including sanctions), privacy, data protection, consumer protection, marketing, and advertising laws could adversely affect us.</w:t>
      </w:r>
    </w:p>
    <w:p>
      <w:pPr>
        <w:ind w:left="580" w:hanging="288"/>
        <w:spacing w:after="0" w:line="255" w:lineRule="auto"/>
        <w:tabs>
          <w:tab w:leader="none" w:pos="54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highly regulated across multiple jurisdictions, including evolving and sometimes uncertain short-term rental regulations and tax laws, which may limit our growth, cause us to incur compliance costs, or otherwise negatively affect us.</w:t>
      </w:r>
    </w:p>
    <w:p>
      <w:pPr>
        <w:ind w:left="580" w:hanging="288"/>
        <w:spacing w:after="0" w:line="255" w:lineRule="auto"/>
        <w:tabs>
          <w:tab w:leader="none" w:pos="51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substantial doubt about the Company’s ability to continue as a going concern, and this may adversely affect our stock price, our ability to raise capital, and our relationships with key stakeholders.</w:t>
      </w:r>
    </w:p>
    <w:p>
      <w:pPr>
        <w:ind w:left="500" w:hanging="208"/>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require additional capital, which might not be available in a timely manner or on favorable terms.</w:t>
      </w:r>
    </w:p>
    <w:p>
      <w:pPr>
        <w:spacing w:after="0" w:line="11" w:lineRule="exact"/>
        <w:rPr>
          <w:rFonts w:ascii="Times New Roman" w:cs="Times New Roman" w:eastAsia="Times New Roman" w:hAnsi="Times New Roman"/>
          <w:sz w:val="16"/>
          <w:szCs w:val="16"/>
          <w:color w:val="auto"/>
        </w:rPr>
      </w:pPr>
    </w:p>
    <w:p>
      <w:pPr>
        <w:jc w:val="both"/>
        <w:ind w:left="580" w:hanging="288"/>
        <w:spacing w:after="0" w:line="263" w:lineRule="auto"/>
        <w:tabs>
          <w:tab w:leader="none" w:pos="61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indebtedness and credit facilities contain financial covenants and other restrictions that may limit our operational and financial flexibility or otherwise adversely affect us, including as a result of a potential Event of Default under our Delayed Draw Notes, and future financing arrangements may also contain restrictive covenants or other onerous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i w:val="1"/>
          <w:iCs w:val="1"/>
          <w:color w:val="auto"/>
        </w:rPr>
        <w:t>Unless the context requires otherwise, references to “Sonder,” “we,” “our” and “us” in this section are to the business and operations of Legacy Sonder prior to the Business Combination and our business and operations as directly or indirectly affected by Legacy Sonder by virtue of our ownership of the business of Legacy Sonder through our subsidiaries following the Business Combination.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focus on achieving positive, sustainable Free Cash Flow may be unsuccessful, we may not realize some or all of the expected benefits of our previously announced restructuring or any future restructuring initiatives, or of our portfolio optimization program, and these efforts may adversely affect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focus of our Cash Flow Positive Plan is to achieve positive, sustainable Free Cash Flow (“FCF”), by reducing cash costs, reducing our planned pace of signing new Contracted Units, increasing our focus on signing “capital light” properties, and focusing on rapid payback RevPAR initiatives. The Cash Flow Positive Plan included a restructuring of operations, with a reduction in corporate and frontline headcount in June 2022, as well as further reductions in corporate headcount in 2023 and 2024. In early 2020, we also undertook staff furloughs and reductions, lease exits, and other cost-saving actions due to the COVID-19 pandemic, and we may undertake other restructuring or cost-saving initiatives in the future. As part of our focus on cash flow, we have also undertaken a portfolio optimization program, which involves discussions with landlords about renegotiating the terms of our leases primarily at certain underperforming properties. These efforts have resulted and are expected to result in the termination of certain leases, leading to exits of certain properties over time and the incurrence of expenses, including but not limited to impairment charges and contingent obligations, which could be material. The scope of the program can be expected to change over time, and we cannot predict the number or product mix of the units that may be ultimately affected or the related impact on our business, results of operations, financial condition, and cash flows. The terms, scope, and timing of any additional changes to our lease obligations, as well as any other effects on our landlord relationships or reputation with future real estate owners and guests who are affected by property transitions, are uncertain. Our portfolio optimization program and any past or future restructuring or cost-saving initiatives may not achieve our goal of achieving positive FCF, result in the cost savings we expect, increase the number of “capital light” properties in our portfolio, or otherwise achieve our cash flow, profitability or operational objectives.</w:t>
      </w:r>
    </w:p>
    <w:p>
      <w:pPr>
        <w:spacing w:after="0" w:line="3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implementing any restructuring plan, including the portfolio optimization program, presents potential risks that may impair our ability to achieve anticipated cost reductions, revenue enhancements, or operational improvements. These risks include the potential for inadequate support of important business functions due to staffing changes and other cost reduction efforts, management distraction from ongoing business activities, potential failure to maintain adequate controls and procedures while executing our restructuring plans, and damage to our reputation and brand image with real estate owners, potential guests and others. Additionally, as a result of restructuring initiatives, we may experience a loss of continuity and accumulated knowledge, as well as adverse effects on employee morale and productivity and on our ability to attract and retain highly skilled employees. Increased employee attrition and difficulties in recruiting could, among other things, impair our ability to maintain and enhance our internal controls and procedures, complicate our efforts to pursue new RevPAR initiatives and execute effectively on engineering and technology development projects, cause inefficiencies, and make it more difficult to pursue, open and operate new properties. In addition, the reduction in our pace of signings and our increased focus on signing “capital light” properties may result in fewer Live Units than we have forecasted, which may result in lower than expected revenues and cash flow. Any of the above consequences could adversely impact our business, and we may not achieve positive FCF when we anticipate, or at all.</w:t>
      </w:r>
    </w:p>
    <w:p>
      <w:pPr>
        <w:spacing w:after="0" w:line="19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forecasts and projections are based upon assumptions, analyses and estimates developed by our management. If these assumptions, analyses or estimates prove to be incorrect or inaccurate, our actual results may differ materially from those forecasted or projected.</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forecasts and projections, including projected or anticipated revenues, margins, profitability, cash flows, Bookable Nights, RevPAR, lease signings and Live Units, and our anticipated market opportunity, growth and penetration, are subject to significant uncertainties and are based on assumptions, analyses and estimates developed by our management, including with reference to third-party forecasts, any or all of which may prove to be incorrect or inaccurate. These include assumptions, analyses and estimates about future pricing and Occupancy Rates; the anticipated cost savings, more favorable capital requirements and other benefits of our Cash Flow Positive Plan announced in June 2022, and the anticipated benefits of the Marriott Agreement; and the scope and outcome of our portfolio optimization program, including the number and type of properties involved, the terms of lease amendments, the timing of lease terminations, and related expenses. Other assumptions include the type and size of future properties, the timing of lease signings, building openings and development, the satisfaction of conditions or contingencies in signed leases, local regulatory environments, the terms of future leases, and future costs, all of which are subject to a wide variety of business, regulatory and competitive risks and uncertainties. If these assumptions, analyses or estimates prove to be incorrect or inaccurate, we may have difficulties accurately budgeting for and managing our expenses, and our actual results may differ materially from those forecasted or projected, adversely affecting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revenue, expenses and operating results could be materially adversely affected by changes in travel, hospitality, and real estate markets, as well as general economic conditions such as an economic downturn or recession.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business is particularly sensitive to trends in the travel, hospitality, and real estate markets, and trends in the general economy, which are unpredictable. Travel, including demand for accommodations, is highly dependent on discretionary spending levels. As a result, hospitality sales tend to decline during general economic downturns and recessions, and times of political or economic uncertainty, as consumers engage in less discretionary spending, are concerned about unemployment or inflation, have reduced access to credit, or experience other concerns or effects that reduce their ability or willingness to travel. Leisure travel in particular, which we believe accounts for a majority of our bookings, is dependent on discretionary consumer spending levels. Downturns in worldwide or regional economic conditions or inflationary pressures have in the past led to a general decrease in leisure travel and travel spending, and similar downturns or inflationary pressures in the future may materially adversely impact demand for our accommodations. Such a shift in consumer behavior could materially and adversely affect our business, results of operations, financial condition, and cash flows.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impact of economic conditions, our business could be adversely affected by other factors that cause reductions in travel, such as:</w:t>
      </w:r>
    </w:p>
    <w:p>
      <w:pPr>
        <w:spacing w:after="0" w:line="232" w:lineRule="exact"/>
        <w:rPr>
          <w:sz w:val="20"/>
          <w:szCs w:val="20"/>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health concerns, including but not limited to the COVID-19 pandemic or other future public health crises;</w:t>
      </w:r>
    </w:p>
    <w:p>
      <w:pPr>
        <w:spacing w:after="0" w:line="27"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Regional hostilities, war, terrorist attacks or civil unrest, such as the 2022 Russian invasion of Ukraine and recent events in the Middle East;</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Immigration policies and other governmental restrictions on residency and travel;</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travel- or hospitality-related taxes or surcharges by regulatory authorities;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regulations, policies, or conditions related to sustainability, including climate change, and the impact of climate change on seasonal destinations;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stoppages or labor unrest at a potential travel destination; or</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or adverse weather conditions.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to affecting demand, economic downturns, rising interest rates, rising construction costs, and other adverse developments in real estate markets may result in decreases in new construction starts, property conversions and renovations, and increases in foreclosures, which could result in fewer units available for leasing. Any or all of these and other factors could reduce the demand for our services and the supply of new units, thereby reducing our revenue. The above factors could also require higher marketing and other costs to attract guests, and could result in less favorable terms for new leases, which would increase our expenses.</w:t>
      </w:r>
    </w:p>
    <w:p>
      <w:pPr>
        <w:spacing w:after="0" w:line="1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not realize the anticipated benefits from our agreement with Marriott at the time or to the degree that we anticipate, or at all, and our agreement with Marriott may expose us to other risks and uncertainties.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August 19, 2024, we announced that we entered into the Marriott Agreement, pursuant to which our property portfolio is expected to join the Marriott system under a new collection called “Sonder by Marriott Bonvoy.” Although we currently anticipate that the Marriott Agreement will provide us with revenue opportunities and operating efficiencies, we may not realize the anticipated benefits at the time or to the degree we anticipate, or at all. Among other risks, the integration of our portfolio with Marriott’s platforms, distribution channels, sales capabilities, and systems will take considerable time and investment and is subject to uncertainties, including potential delays and unanticipated disruptions, complications and costs. The Marriott Agreement may not result in the revenue enhancements that we currently expect for various reasons, such as possible differences in the preferences and demographics of our and Marriott’s existing and future guests, potential competition among various Marriott brands for guest demand and attention, the uncertain impact on our revenues of integration with Marriott’s guest loyalty program, and other factors. Integration of our properties and systems with Marriott’s will also require substantial investment and resources, and may be more costly, lengthier, and more disruptive than we anticipate. Furthermore, in operating under our current systems while also integrating our properties, technologies and systems with Marriott’s, we may encounter increased costs and other difficulties, including potential difficulties with employee staffing and retention. In addition, the fees which we are required to pay Marriott under the agreement may be higher than anticipated. We must also comply with specified Marriott standards and other conditions and requirements. Failure to successfully implement or comply with the Marriott Agreement could reduce the number of properties integrated into the Marriott relationship; increase our costs; result in termination of the agreement; adversely affect our brand, reputation, and relationships with property owners and other current or potential business partners; or have other adverse effects on us. Under the terms of the Marriott Agreement, subject to meeting certain conditions, we expect to receive $15 million of “Key Money” to support the costs associated with the integration of our portfolio with Marriott’s platforms,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but we may not be able to meet these conditions for various reasons and we may only receive part of these funds or none at all.</w:t>
      </w:r>
    </w:p>
    <w:p>
      <w:pPr>
        <w:spacing w:after="0" w:line="2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Marriott Agreement has an initial term of 20 years after our properties’ initial onboarding date, subject to possible extensions, and our rights to terminate the agreement are limited. In addition, the agreement requires us to open new properties only if they are included under the Marriott agreement, subject to limited exceptions, which increases our dependence upon Marriott. The potentially long-term nature of the Marriott relationship poses additional risks to our business and prospects. Particularly after we have integrated properties into Marriott’s systems and platforms, have invested in the integration process, and have realigned our technologies, staffing, and guest relationships and interactions due to the Marriott agreement, we may find it difficult to operate properties or build or maintain guest loyalty outside of the Marriott relationship in the future, even if permitted under the Marriott Agreement or after it has been terminated. Among other termination provisions, the Marriott Agreement may be terminated by Marriott or us upon any transfer of 50% or more of the ownership interests in or day-to-day management of our portfolio of properties or of our company, other than to a controlled affiliate, subject to the payment of certain fees. These provisions could make it more complicated to accomplish, or could deter, transactions that stockholders may otherwise consider to be in their best interests. Our relationship with Marriott, and integration of our portfolio with Marriott over time, may also make it more difficult to enter into a similar strategic relationship with a different hospitality industry partner in the future.</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successfully negotiate satisfactory leases or other arrangements to operate new properties, amend existing leases, onboard new properties in a timely manner, or renew or replace existing properties on satisfactory terms or at all, any of which may limit our growth and could cause us to miss our growth or financial forecasts.</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currently lease all of our locations. When we identify attractive locations for growth, we pursue additional units by signing new leases or additions to existing leases, and we also pursue other arrangements with property owners and developers. If we fail to secure or renew leases or other arrangements for attractive properties, we will not be able to expand our portfolio of properties and may not achieve our growth and financial forecasts.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may not be able to add sufficient properties to our portfolio that meet our brand standards, at an acceptable cost and on acceptable terms, to meet our strategic growth goals and financial forecasts. Due to the number of properties that we have already secured under leases or other arrangements in many major U.S. and Canadian cities, we may find it more difficult to find additional attractive properties in those markets. In Europe and other international markets, we have less experience and fewer real estate personnel, and local regulations and real estate industry practices may make it more difficult to locate properties that are strategically aligned with our business model. Recent increases in interest rates, inflation in construction and other costs, and concerns about a recession have caused and may continue to cause some property developers to delay or abandon development projects that we would otherwise seek to add to our portfolio. Even where we identify suitable properties, we may not be able to negotiate leases or other arrangements on commercially reasonable terms. Real estate owners may not accept our proposed terms, including due to our focus on signing agreements with lower capital expenditure obligations and quick payback timeframes. In addition, the Marriott Agreement was announced in August 2024, and certain real estate owners may defer or forego discussions with us until they have more information about our integration efforts with Marriott, and the potential implications for new leases that we may pursue. We may also have difficulties in providing real estate owners with acceptable letters of credit in lieu of cash deposits, and these difficulties may intensify due to any adverse developments affecting our letter of credit providers, such as the March 2023 government-arranged closure and receivership of Silicon Valley Bank (“SVB”), now a division of First Citizens Bank, one of the financial institutions that we use for letters of credit. Any such difficulties may result in higher cash outlays for lease security deposits, delays in signing leases as alternative sources of security are sought, or additional complications in signing leases in a timely manner. Certain real estate owners have been and may continue to be reluctant to enter into or continue transactions with us due to the decline in our stock price, our September 2023 reverse stock split to regain compliance with Nasdaq’s minimum bid price rule, the delay in our SEC reports resulting from our accounting restatement announced in March 2024, our portfolio optimization program, including the resulting lease amendments and terminations and property exits, potential concerns related to our ability to continue as a going concern, and related concerns of owners or their lenders about our creditworthiness, future cash position or ability to raise capital. See the paragraph entitled “</w:t>
      </w:r>
      <w:r>
        <w:rPr>
          <w:rFonts w:ascii="Times New Roman" w:cs="Times New Roman" w:eastAsia="Times New Roman" w:hAnsi="Times New Roman"/>
          <w:sz w:val="16"/>
          <w:szCs w:val="16"/>
          <w:i w:val="1"/>
          <w:iCs w:val="1"/>
          <w:color w:val="auto"/>
        </w:rPr>
        <w:t>We are not in compliance with Nasdaq’s requirements for continued listing of our securities, and if we fail to continue to meet the listing standards of Nasdaq,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common stock and publicly traded warrants may be delisted, which could have a material adverse effect on the liquidity and trading price of our common stock and warrants and on our ability to raise capital, and other adverse consequences,” </w:t>
      </w:r>
      <w:r>
        <w:rPr>
          <w:rFonts w:ascii="Times New Roman" w:cs="Times New Roman" w:eastAsia="Times New Roman" w:hAnsi="Times New Roman"/>
          <w:sz w:val="16"/>
          <w:szCs w:val="16"/>
          <w:color w:val="auto"/>
        </w:rPr>
        <w:t>below.</w:t>
      </w:r>
    </w:p>
    <w:p>
      <w:pPr>
        <w:spacing w:after="0" w:line="19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 addition, commercial terms that are negotiated by our real estate teams in existing markets may not be widely accepted in new markets, which may complicate or delay our planned expansion or make such expansion less attractive.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Competition for attractive properties can be intense, and competitors may offer owners and developers more attractive terms. We also have relatively little experience with alternatives to traditional leases, which may make it more difficult for us to secure properties where the owner or developer prefers a management agreement or other occupancy arrangement over a lease.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Furthermore, our ability to extend an expiring lease on favorable terms or to secure an alternate location will depend on then-prevailing conditions in the real estate market, such as overall rental cost increases, competition from other would-be tenants for desirable leased spaces, our relationships with current and prospective building landlords, real estate owners’ perceptions of our creditworthiness and prospects, and other potential factors that are not within our control. For example, in markets where the prevailing rents for apartments have been increasing, real estate owners may also believe that, compared to the terms that we offer, they can achieve a superior return through more traditional individual tenancies. If we are not able to renew or replace an expiring lease, we will lose the opportunity to generate additional revenue from that space and will incur costs related to vacating it. If we renew or replace a lease with higher than expected rent or on terms that are otherwise less favorable to us than we expected, our profitability and cash flow could be adversely affected.</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Delays in real estate development and construction projects related to our leases could adversely affect our ability to generate revenue from such leased properties, and newly leased properties may be more difficult or expensive to integrate into our operations than expected.</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business is also subject to property development risks. We often enter into arrangements with property developers to lease all or a portion of a building that is being built or converted for housing accommodations. We expect the number of these early-stage development projects within our business to increase. Even where a project proceeds as planned, it can be many months or even years before the leased property is completed and Live Units become available for guest booking. In addition, the commitments of owners and developers under these arrangements are subject to various conditions and the completion of such development and construction projects are subject to numerous risks, including, in many cases, the owner’s or developer’s ability to obtain adequate financing, construction materials or labor, and governmental or regulatory approvals. Recent increases in interest rates, and inflation in construction and other costs, have caused and may continue to cause some property owners and developers to have difficulty financing, refinancing, or completing projects that we plan to lease. We have experienced unforeseen terminations of and delays in the readiness of property developments, and we expect to encounter similar events in the future. As a result, any such properties in our forecast property pipeline may not develop into new sources of revenue when we anticipated or at all.</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Even when we succeed in signing a lease for a new property, the landlord or developer may be unable or unwilling to deliver the property in the timeline initially provided for or in the condition originally agreed to, or we may encounter other unforeseen delays in preparing the property for initial guest bookings. We refer to this process as “building opening.” Delays in building openings also may occur due to supply chain shortages including fixtures, furnishings and other materials, delays in governmental permits and approvals, landlords’ and developers’ delays in obtaining adequate financing, labor shortages, or the unavailability of third-party contractors. Later than expected building openings at properties also results in a delay in generating revenue from such properties, which could cause us to miss our financial forecasts or fall short of our previously announced Cash Flow Positive Plan goals. In addition, the success of any new property will depend on our ability to integrate the property into existing operations and into Marriott’s programs and systems under the Marriott Agreement, which is subject to uncertainties including potential difficulties in integrating guest-facing and back-office systems or in engaging third-party vendors to service the properties. See the paragraph entitled </w:t>
      </w:r>
      <w:r>
        <w:rPr>
          <w:rFonts w:ascii="Times New Roman" w:cs="Times New Roman" w:eastAsia="Times New Roman" w:hAnsi="Times New Roman"/>
          <w:sz w:val="16"/>
          <w:szCs w:val="16"/>
          <w:i w:val="1"/>
          <w:iCs w:val="1"/>
          <w:color w:val="auto"/>
        </w:rPr>
        <w:t>“We may not realize the anticipated benefits from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agreement with Marriott at the time or to the degree that we anticipate, or at all, and our agreement with Marriott may expose us to other risks and uncertainties” </w:t>
      </w:r>
      <w:r>
        <w:rPr>
          <w:rFonts w:ascii="Times New Roman" w:cs="Times New Roman" w:eastAsia="Times New Roman" w:hAnsi="Times New Roman"/>
          <w:sz w:val="16"/>
          <w:szCs w:val="16"/>
          <w:color w:val="auto"/>
        </w:rPr>
        <w:t>for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about certain risks and uncertainties associated with the Marriott Agreement and related integration efforts. Newly leased properties could be more difficult or expensive to onboard, have undisclosed conditions that result in unanticipated expenses or claims against us for which we may have little or no effective recourse against the landlord, or otherwise may not provide their anticipated benefits.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limited operating history and evolving business make it difficult to predict whether we will achieve our financial, operating and growth forecasts.</w:t>
      </w: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business continues to evolve. We have expanded significantly since our inception, including the number of cities and countries in which we operate. After initially focusing on apartment-style units, we now also operate hotel properties that have more extensive and complex amenities and systems. In the last few years, we have also focused our expansion efforts on leasing full buildings or larger numbers of units or floors within a property. In addition, we have operated many of our leased properties for a limited period of time, and their early results may not be indicative of their long-term performance. For example, a large portion of units available for guest bookings as of December 31, 2023, which we refer to as “live” units, had been live for less than one year. At hotels whose former operators have relied heavily on group and corporate bookings, we have experienced and may continue to experience longer than expected revenue ramp-up periods, and we expect to devote more resources to sales efforts at future hotels. In addition, as of the date of this report, we have not yet completed the necessary integration of any of our properties with Marriott’s systems and programs, under the Marriott Agreement announced in August 2024, as described below. Our relatively limited operating history and evolving business make it difficult to evaluate the likelihood that we will achieve our financial, operating and growth forecasts, and to predict and plan for the risks and challenges we may encounter. These risks and challenges include our ability to:</w:t>
      </w:r>
    </w:p>
    <w:p>
      <w:pPr>
        <w:spacing w:after="0" w:line="194" w:lineRule="exact"/>
        <w:rPr>
          <w:sz w:val="20"/>
          <w:szCs w:val="20"/>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Forecast our revenue and budget for and manage our expenses, particularly at new buildings or in new markets;</w:t>
      </w:r>
    </w:p>
    <w:p>
      <w:pPr>
        <w:spacing w:after="0" w:line="27"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Onboard new, high-quality units in a timely and cost-effective manner;</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Keep existing units available for booking and reduce nights lost to repairs or other interruptions;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implement new systems and processes;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new properties into our and Marriott’s systems and processes, including integration challenges with new systems;</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existing and new laws and regulations applicable to our business, including those related to short-term rentals, hotel operations and any future public health crises;</w:t>
      </w:r>
    </w:p>
    <w:p>
      <w:pPr>
        <w:ind w:left="580" w:hanging="288"/>
        <w:spacing w:after="0" w:line="255" w:lineRule="auto"/>
        <w:tabs>
          <w:tab w:leader="none" w:pos="57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for and manage capital expenditures for current and future properties, including renovations of units and development of new properties, and manage relationships with landlords, developers, service providers and other partners;</w:t>
      </w: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and respond to macroeconomic changes, fluctuations in travel and tourism, and other changes in the markets in which we operate;</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enhance the value of our reputation and brand;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manage growth;</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geographic reach;</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integrate and retain talented people at all levels of our organization;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develop or integrate new features, amenities and services to enhance the experience of guests.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If we fail to address these risks and difficulties, our business, results of operations, financial condition, and cash flows could be adversely affected. Further, because we have limited historical financial data and operate in a rapidly evolving industry, any predictions about future revenue and expenses may not be as accurate as they would be if we had a longer operating history or operated in more predictable markets. If we do not address these risks successfully, or if our assumptions regarding these risks and uncertainties, which are used to plan and operate our business, are incorrect or change, our results of operations could differ materially from expectations and our business, results of operations, financial condition,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history of net losses, and we may not be able to achieve or maintain profitability or positive cash flow in the future.</w:t>
      </w:r>
    </w:p>
    <w:p>
      <w:pPr>
        <w:spacing w:after="0" w:line="23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have incurred net losses and negative cash flow each year since our inception, and we may not be able to achieve or maintain profitability or positive cash flow in the future. We incurred substantial net losses over the past several years, resulting in an accumulated deficit of $1.4 billion at December 31, 2023. We also had negative cash flow from operating activities of $110.9 million and $150.0 million for the years ended December 31, 2023 and 2022, respectively. Our expenses will likely increase in the future as we invest in integration efforts pursuant to the Marriott Agreement, seek to expand in existing and new domestic and international markets, focus heavily on sales and marketing efforts, continue to invest in new technologies, systems, designs and unit amenities, expand our operations, and hire additional employees. These efforts may be more costly than expected and may not result in expected increases in revenue or growth in our business, which would impair our ability to achieve or maintain profitability or positive cash flow. Our Cash Flow Positive Plan announced in June 2022, our portfolio optimization program and the Marriott Agreement may not provide the cash flow, revenue improvement, cost savings or other benefits that we anticipate.</w:t>
      </w:r>
    </w:p>
    <w:p>
      <w:pPr>
        <w:spacing w:after="0" w:line="19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addition, we generally lease properties under multi-year arrangements, but guest revenues are generated through stays that currently average less than a week. Any failure to increase our revenue sufficiently to keep pace with the fixed components of our lease obligations, investments and other expenses could prevent us from achieving or maintaining profitability or positive cash flow on a consistent basis or at all. If we are unable to successfully address these risks and challenges, our business, results of operations, financial condition, and cash flows would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depend on landlords for certain maintenance and other significant obligations related to our properties, and any failures in this area could hurt our business.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do not own any of our properties and manage and operate them under leases with third-party landlords. At some properties, our guest units comprise only a portion of the building and common areas and amenities are shared with other tenants or unit owners. We often have limited control over the common areas and amenities of buildings in which our units are located. In addition, we depend on our landlords to deliver properties in a suitable condition and to perform important ongoing maintenance, repair and other activities with respect to common areas, amenities and building systems such as plumbing, elevators, electrical, and fire and life safety. If our landlords do not fulfill their obligations or fail to maintain and operate their buildings appropriately, we could be subject to claims by guests and other parties, and our business, reputation and guest relationships may suffer.</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Disputes and litigation relating to our leases and our property optimization program have occurred and can be expected to occur in the future, which may result in significant costs, damage to landlord relationships, slower than expected expansion, and lower revenues.</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nature of our rights and responsibilities under our leases may be subject to interpretation, and our leasing relationships will from time to time give rise to disagreements, which have included and may include disagreements over the timing and amount of capital investments or improvements, requests by us or by our landlords to amend leases, operational and repair responsibilities, liability to third parties, a party’s right to terminate a lease, and reimbursement for certain renovations and costs. For example, we have experienced actual and threatened claims and legal proceedings initiated by property owners in connection with proposed lease amendments or terminations arising from our portfolio optimization program, and we may experience additional claims and proceedings.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seek to resolve any disagreements and develop and maintain positive relations with current and potential landlords, but we cannot always do so. Failure to resolve such disagreements has resulted in litigation in the past and could result in litigation in the future. Disputes may be expensive to litigate, even if the outcome is ultimately in our favor. We cannot predict the outcome of any litigation. An adverse judgment, settlement, or court order in a proceeding could cause significant expenses and constraints in our business operations and expansion plans. For example, we are involved in litigation with our former landlord at 20 Broad Street in New York, arising out of the landlord’s failure to address Legionella bacteria contamination in the building’s water supply and the associated health risks posed to our guests. For additional information about this litigation, see the section entitled “Legal Proceedings” elsewhere in this report. We are unable to predict the outcome of this litigation, or our ultimate responsibility for any adverse outcome. Even if this lawsuit is resolved favorably, the proceeding has required and may continue to require substantial management attention as well as significant legal fees and expenses.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long-term and fixed-cost nature of our leases may limit our operating flexibility and could adversely affect our liquidity and results of operations.</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currently lease all of our properties and are committed for the leases’ terms, generally without the right to terminate early. Our obligations to landlords under these agreements extend for years, while we do not have a corresponding source of guaranteed revenue because guests typically stay for less than a week at our properties.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leases generally provide for fixed monthly payments that are not tied to Occupancy Rates or revenues, and our leases typically contain minimum rental payment obligations. We sometimes offer landlords lower minimum payments in return for a share of the property’s revenues, or other variable terms, but those currently represent a small portion of our portfolio, and we may be unsuccessful in securing variable or participating lease terms. There can be no assurance that we will be able to sign and operate successfully under leases with revenue-sharing or other variable terms. As a result of our fixed lease expenses, if we are unable to maintain sufficient Occupancy Rates and pricing, our lease expenses may exceed our revenue. For example, in an environment where the prevailing cost of accommodations may be decreasing, we may not be able to lower our fixed monthly payments under our leases at rates commensurate with the rates at which we would be pressured to lower our guest rates, which may also reduce our margins and cash flow. In any such event, we may be unable to reduce our rent under the lease or otherwise terminate the lease in accordance with its terms.</w:t>
      </w:r>
    </w:p>
    <w:p>
      <w:pPr>
        <w:spacing w:after="0" w:line="19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have limited flexibility to rapidly alter our portfolio of properties and our lease commitments in response to changing circumstances. Leases require substantial time to negotiate and are typically multi-year commitments that can only be revised or terminated with the landlord’s agreement. In addition, some of our leases require the landlord’s consent to assign the lease or sublease the property, which may not be granted or may be granted only on unfavorable terms. Even if we are able to assign or sublease an unprofitable property, we may incur significant costs, including transaction costs associated with finding and negotiating with potential transferees, upfront payments or other inducements, costs to restore the property to its previous condition, and other costs to exit the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leases may be subject to termination before their scheduled expiration, which can be disruptive and costly.</w:t>
      </w:r>
    </w:p>
    <w:p>
      <w:pPr>
        <w:spacing w:after="0" w:line="23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leases may be subject to termination before they are scheduled to expire, in certain circumstances including the bankruptcy of a developer or landlord, noncompliance with underlying covenants governing the property, or, under some agreements, failure to meet specified financial or performance criteria. Some leases also contain conditions to the landlord’s or our obligations or permit the landlord to terminate before the scheduled expiration date, including due to any failure by us to provide a cash security deposit or an acceptable letter of credit, surety bond or other security instrument. Some leases for Contracted Units (which are units that have signed real estate contracts but are not yet available for guests to book) have contingencies (including construction financing contingencies, zoning, permitting or other regulatory conditions, landlord purchase contingencies, or other contingencies that we or the landlord must satisfy) that must be satisfied prior to our takeover of the units. If these contingencies are not satisfied prior to our takeover of the units, the lease is terminable by us or the landlord. In addition, certain leases are terminable by the landlord for other reasons.</w:t>
      </w:r>
    </w:p>
    <w:p>
      <w:pPr>
        <w:spacing w:after="0" w:line="19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Many of our leased properties have been pledged as collateral for mortgage loans entered into by the owners of the properties when those properties were purchased or refinanced. If those owners cannot repay or refinance maturing indebtedness on favorable terms or at all, such owners may declare bankruptcy and/or lenders could declare a default, accelerate the related debt, and foreclose on the subject property. In addition, some of our units are subleased from parties that lease the underlying property from its owner. If our landlord fails to comply with its underlying lease, or the lease is otherwise terminated earlier than expected, we could lose the right to continue to operate our units or could be forced to cure the landlord’s failure without being assured of recouping the related costs. From time to time, we have experienced the loss or disruption of leases for Contracted Units and Live Units for reasons such as those described above, and similar events may occur in the future.</w:t>
      </w:r>
    </w:p>
    <w:p>
      <w:pPr>
        <w:spacing w:after="0" w:line="19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termination of our leases due to any of the foregoing events would eliminate our anticipated income and cash flows from the affected property, which could have a significant negative effect on our results of operations and liquidity. Landlords or other business partners may also assert the right to terminate leases or other significant contracts even where the agreements do not provide such a right. If terminations occur for these or other reasons, we may need to enforce our right to damages for breach of contract and related claims, which may cause us to incur significant legal fees and expenses. Any damages we ultimately collect could be less than the projected future value of the revenues and income we would have otherwise generated from the property. Early terminations of significant agreements could hurt our financial performance or our ability to grow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long-term success depends, in part, on our ability to expand internationally, and our business is susceptible to risks associated with international operations.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Although in June 2022, we announced plans to moderate our pace of signing new real estate contracts and to focus new signings on countries where we already have operations, we continue to expand our operations. Currently, we maintain properties in the United States, Canada, the United Kingdom, Ireland, continental Europe, Mexico and the United Arab Emirates, and plan to continue our efforts to expand globally, including, eventually, in jurisdictions where we do not currently operate. Managing a global organization is challenging, time consuming and expensive, and any international expansion efforts that we undertake may not be profitable in the near or long term or otherwise be successful. We have limited operating experience in many foreign jurisdictions and must continue to make significant investments to build our international operations. Conducting international operations subjects us to risks that we generally do not face in the United States. These risks include:</w:t>
      </w:r>
    </w:p>
    <w:p>
      <w:pPr>
        <w:spacing w:after="0" w:line="191" w:lineRule="exact"/>
        <w:rPr>
          <w:sz w:val="20"/>
          <w:szCs w:val="20"/>
          <w:color w:val="auto"/>
        </w:rPr>
      </w:pPr>
    </w:p>
    <w:p>
      <w:pPr>
        <w:ind w:left="580" w:hanging="288"/>
        <w:spacing w:after="0" w:line="26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risks and uncertainties associated with tailoring our services in international jurisdictions as needed to better address and balance both our needs, the needs of our guests, and threats of local competitors with compliance under applicable rules and regulations;</w:t>
      </w:r>
    </w:p>
    <w:p>
      <w:pPr>
        <w:spacing w:after="0" w:line="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forecasting revenues and expenses in markets where we have not previously operated;</w:t>
      </w:r>
    </w:p>
    <w:p>
      <w:pPr>
        <w:spacing w:after="0" w:line="11"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risks associated with international, national, and local laws, regulations and policies governing topics such as zoning (hotels and other accommodations) and permits, accessibility, property development and property rental, accessibility, health and safety, climate change and sustainability, and privacy, as well as labor and employment;</w:t>
      </w:r>
    </w:p>
    <w:p>
      <w:pPr>
        <w:spacing w:after="0" w:line="1" w:lineRule="exact"/>
        <w:rPr>
          <w:rFonts w:ascii="Times New Roman" w:cs="Times New Roman" w:eastAsia="Times New Roman" w:hAnsi="Times New Roman"/>
          <w:sz w:val="16"/>
          <w:szCs w:val="16"/>
          <w:color w:val="auto"/>
        </w:rPr>
      </w:pPr>
    </w:p>
    <w:p>
      <w:pPr>
        <w:jc w:val="both"/>
        <w:ind w:left="580" w:hanging="288"/>
        <w:spacing w:after="0" w:line="271"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local real estate and hotel industry practices, including leasing and hotel transaction terms, that may make it challenging for us to add properties on satisfactory terms or that may require higher than expected upfront payments, security deposits, repair and maintenance expenses, amenity expenses, or other costs;</w:t>
      </w:r>
    </w:p>
    <w:p>
      <w:pPr>
        <w:spacing w:after="0" w:line="172"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and compliance challenges caused by distance, language, and cultural differences;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risks associated with compliance with international tax laws and regulations;</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risks associated with compliance with the U.S. Foreign Corrupt Practices Act and other laws in the United States related to conducting business outside the United States, as well as the laws and regulations of non-U.S. jurisdictions governing bribery, anti-money laundering and other corrupt business activities;</w:t>
      </w:r>
    </w:p>
    <w:p>
      <w:pPr>
        <w:ind w:left="580" w:hanging="288"/>
        <w:spacing w:after="0" w:line="25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risks associated with human trafficking, modern slavery and forced labor reporting, training and due diligence laws and regulations in various jurisdictions;</w:t>
      </w:r>
    </w:p>
    <w:p>
      <w:pPr>
        <w:spacing w:after="0" w:line="196"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Being subject to other laws and regulations, including laws governing online advertising and other Internet activities, email and other messaging, collection, use and storage of personal information, ownership of intellectual property, taxation and other activities important to our online business practices;</w:t>
      </w: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exposure to adverse movements in currency exchange rates;</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 companies that understand the local market better than we do or that have preexisting relationships with landlords, property developers, regulators and guests in those markets;</w:t>
      </w: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effects resulting from the U.K.’s exit from the European Union (commonly known as “Brexit”);</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or varied protection for intellectual property rights in some countries; and</w:t>
      </w:r>
    </w:p>
    <w:p>
      <w:pPr>
        <w:spacing w:after="0" w:line="11" w:lineRule="exact"/>
        <w:rPr>
          <w:rFonts w:ascii="Times New Roman" w:cs="Times New Roman" w:eastAsia="Times New Roman" w:hAnsi="Times New Roman"/>
          <w:sz w:val="16"/>
          <w:szCs w:val="16"/>
          <w:color w:val="auto"/>
        </w:rPr>
      </w:pPr>
    </w:p>
    <w:p>
      <w:pPr>
        <w:ind w:left="580" w:hanging="288"/>
        <w:spacing w:after="0" w:line="271" w:lineRule="auto"/>
        <w:tabs>
          <w:tab w:leader="none" w:pos="57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political, social and macroeconomic factors, hostilities and war (including the 2022 Russian invasion of Ukraine, and recent events in the Middle East), acts of terrorism or responses to these events.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Entry into certain transactions with foreign entities now or in the future may be subject to government regulations, including review related to foreign direct investment by U.S. or foreign government entities. If a transaction with a foreign entity is subject to regulatory review, such regulatory review might limit our ability to enter into the desired strategic alliance and thus our ability to carry out our long-term business strategy.</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 and could instead result in increased costs without a corresponding benefit. We cannot guarantee that our international expansion efforts will be successful.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effectively manage our growth.</w:t>
      </w:r>
    </w:p>
    <w:p>
      <w:pPr>
        <w:spacing w:after="0" w:line="23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Since our inception, we have experienced rapid growth and continue to pursue significant unit growth in existing and new markets throughout the world. As we announced in June 2022, we have moderated our planned pace of signing new units and intend to drive near-term growth primarily by opening already Contracted Units; however, we continue to pursue additional signings in various markets. Despite our staff reductions announced in June 2022, March 2023 and February 2024, we continue to recruit and hire personnel to support building openings, guest service and other functions, both in the United States and internationally.</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Our business is becoming increasingly complex due in part to the continued rapid evolution of the hospitality industry (including rapid changes in regulations and guest preferences due to the COVID-19 pandemic), our continued expansion into new markets, the increasing number of hotels and larger buildings within our portfolio, the growing scope and variety of property amenities and systems for which we have or share responsibility, changing local and national tax regimes, regulatory requirements, and labor markets. This increased complexity and rapid growth have demanded, and will continue to demand, substantial resources and attention from our management. To support our planned growth, we will need to improve and maintain our technology infrastructure and business systems, which may be costly and is subject to uncertainties. We will also need to hire additional specialized personnel in the future as we balance the pursuit of our profitability and growth objectives. For example, we will need to hire, train and manage additional qualified employees to support our engineering, real estate, operations and support teams, as well as employees experienced in security and hospitality operations to support our growing city teams to properly manage our growth. When we enter or expand operations in a particular city, we will also need to hire building opening and guest services staff to meet target dates for opening new properties even before these properties begin to generate revenues.</w:t>
      </w:r>
    </w:p>
    <w:p>
      <w:pPr>
        <w:spacing w:after="0" w:line="19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are experiencing, and may in the future experience, shortages of qualified hospitality personnel. Hospitality personnel in many markets left the industry due to the effects of the COVID-19 pandemic, and we may experience further staffing shortages again in the future. Local labor shortages may arise for other reasons, from time to time. If we are unable to hire, train and integrate a sufficient number of hospitality personnel when needed, if new hires perform poorly, or if we are unsuccessful in retaining existing employees, we may not be able to meet our business and growth objectives and provide effective guest services. A shortage of qualified hospitality personnel could also result in higher wages that would increase our labor costs, which could reduce our profits.</w:t>
      </w:r>
    </w:p>
    <w:p>
      <w:pPr>
        <w:spacing w:after="0" w:line="18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attract new guests or generate repeat bookings from previous guests, our business, results of operations, financial condition, and cash flows would be materially adversely affected.</w:t>
      </w:r>
    </w:p>
    <w:p>
      <w:pPr>
        <w:spacing w:after="0" w:line="16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success depends significantly on attracting new guests and securing repeat bookings from previous guests. Our ability to attract and retain guests could be materially and adversely affected by a number of factors, including:</w:t>
      </w:r>
    </w:p>
    <w:p>
      <w:pPr>
        <w:spacing w:after="0" w:line="166" w:lineRule="exact"/>
        <w:rPr>
          <w:sz w:val="20"/>
          <w:szCs w:val="20"/>
          <w:color w:val="auto"/>
        </w:rPr>
      </w:pPr>
    </w:p>
    <w:p>
      <w:pPr>
        <w:ind w:left="580" w:right="20" w:hanging="288"/>
        <w:spacing w:after="0" w:line="265" w:lineRule="auto"/>
        <w:tabs>
          <w:tab w:leader="none" w:pos="5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events beyond our control on demand for travel and accommodations in our markets, such as the COVID-19 pandemic or a future public health crisis, changes in government travel restrictions or policies, labor or civic unrest, war, travel-related incidents and weather;</w:t>
      </w:r>
    </w:p>
    <w:p>
      <w:pPr>
        <w:spacing w:after="0" w:line="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Failing to meet guests’ expectations;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from other hotel and alternative accommodation providers;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provide differentiated, high-quality experiences at competitive prices;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Guests not receiving timely and adequate customer/guest service support;</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provide new or enhanced amenities and services that guests value;</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disruptions in guests’ access to properties or to the properties’ amenities;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Ineffectiveness of marketing efforts;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associations with, or failure to raise awareness of, our brand;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perceptions of the safety of our properties, including due to the absence of front desks or other traditional, onsite hotel staffing at some properties;</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perceptions of the security of our app or website, including due to the security incident involving unauthorized access to one of our systems that included certain guest records, which we disclosed in November 2022, or any other data security incident; and</w:t>
      </w:r>
    </w:p>
    <w:p>
      <w:pPr>
        <w:ind w:left="580" w:hanging="288"/>
        <w:spacing w:after="0"/>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economic recessions or other macroeconomic factors, and other conditions outside of our control affecting travel and the hospitality industry generally.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addition, we could fail to attract first-time guests or additional bookings from previous guests if our website and/or the Sonder app are not easy to navigate, if guests have an unsatisfactory sign-up, search, booking, payment, or check-in experience, if the listings and other content provided on our website or the Sonder app and on third-party listing platforms are not displayed effectively to guests, or if we fail to provide an experience that meets rapidly changing consumer preferences and travel needs, which could materially adversely affect our business, results of operations, financial condition, and cash flows. If we fail to attract new guests or generate repeat bookings due to these or other factors, our revenues would suffer, we may not meet our financial projections or achieve or maintain profitability, and our business and planned expansion could be adversely affected.</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offer different types of hospitality services than traditional hospitality operators and short-term rental marketplaces, and if guest and property owner acceptance of this innovative approach to accommodations does not continue to grow or grows more slowly than we expect, our business, results of operations, financial condition, and cash flows could be adversely affected.</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offer a distinctive type of hospitality service for which the market is still relatively new, and it is uncertain to what extent market acceptance will continue to grow, if at all, and particularly during times of market volatility, rising interest rates, and general economic instability. Our success will depend on the willingness of potential guests and the market at large to widely adopt our particular model of hospitality services, which differs from both traditional hotels and short-term rental marketplaces such as Airbnb. In many geographies, including geographies that we hope to enter in the future, the market for our hospitality services is unproven, with little data or research available regarding the market and industry. If potential guests do not perceive our units’ designs, amenities, location, or pricing to be attractive, or choose different accommodations due to concerns regarding safety, the availability of onsite staffing, amenities or services associated with traditional hotels, affordability or other reasons, then the market for our accommodations may not further develop, may develop more slowly than expected or may not achieve its expected growth potential. Such outcomes could adversely affect our business, results of operations, financial condition, and cash flows.</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growth also depends on the acceptance of our innovative business model by landlords and property developers, and on our ability to operate in markets without clear or well-established regulations covering properties used in our business. For these and other reasons, we may make errors in predicting demand and the supply of potential units in certain markets, which could cause us to spend more in a certain market than is justified by the resulting revenues, or to miss our financial targets, and could otherwise harm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hospitality market is highly competitive, and we may be unable to compete successfully with current or future competitors.</w:t>
      </w: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hospitality market is highly competitive and fragmented. In addition, new competitors may enter the market at any time. Our current and potential competitors include global hotel brands, regional hotel chains, independent hotels, OTAs and short-term rental services. Numerous vacation, hotel and apartment rental listing websites and apps also compete directly with us for guests. Our competitors may continue to adopt aspects of our business model, which could reduce our ability to differentiate our services. For example, the COVID-19 pandemic caused some competitors, including traditional hotels, to introduce contactless check-in and self-service technologies that they did not previously offer, and to market their services to digital nomads, and has encouraged the development and rollout of in-room communications hubs and other technologies that may permit competitors to offer more technology-enabled guest services. Certain current and potential competitors may also offer inspiring designs at attractive locations or have greater economies of scale and other cost advantages that allow them to offer attractive pricing. We also compete with hotel operators, property rental and management companies, and others to secure leases for attractive properties to add to our portfolio. If we are unsuccessful in offering a distinctive combination of modern, technology-enabled service and superior design at an affordable price point, or are unable to lease new properties, we may be unable to compete effectively and may be unable to attract new or retain existing guests and landlords.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Additionally, current or new competitors may introduce new business models or services that we may need to adopt or otherwise adapt to in order to compete, which could reduce our ability to differentiate our business or services from those of our competitors. For example, some travel intermediaries, like OTAs, are entering into arrangements with hospitality providers that may compete with us more directly. Increased competition could result in a reduction in revenue, fewer attractive properties, higher lease rates, higher costs, or reduced market share.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believe we compete for guests primarily on the basis of the quantity and quality of our units, the global diversity and attractiveness of our units, the quality of our guests’ experience, and our customer service, brand identity and price. Competitive factors in our industry are subject to change, such as the increased emphasis on cleaning, social distancing and “healthy buildings” that occurred during the COVID-19 pandemic. If guests choose to use other competitive offerings in lieu of ours, our revenue could decrease, and we could be required to make additional expenditures to compete more effectively. Any of these events or results could harm our business, results of operations, financial condition, and cash flows.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Many of our competitors enjoy substantial competitive advantages, such as greater name recognition in their markets, well-established guest loyalty programs, longer operating histories and larger marketing budgets, as well as substantially greater financial, technical and other resources. Many competitors operate restaurants or other amenities at their properties that our properties may not provide. Future competitors may also have these advantages compared to us. Moreover, the hospitality services industry has experienced significant consolidation, and we expect this trend may continue as companies attempt to strengthen or hold their market positions in a highly competitive industry. Consolidation among our competitors would give them increased scale and may enhance their capacity, abilities, and resources, and lower their cost structures. In addition, our current or potential competitors may have access to larger developer, landlord or guest bases. As a result, our competitors may be able to respond more quickly and effectively than we can to new or changing opportunities, technologies, standards, regulatory regimes, or landlord or guest requirements. Furthermore, because of these advantages, existing and potential landlords and guests might accept our competitors’ offerings, even if they may be inferior to our own. For all of these reasons, we may not be able to compete successfully against our current and future competitors.</w:t>
      </w:r>
    </w:p>
    <w:p>
      <w:pPr>
        <w:spacing w:after="0" w:line="18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market our units through third-party distribution channels, and if such third parties do not perform adequately or terminate or modify their relationships with us, our business, results of operations, financial condition, and cash flows could be adversely affected.</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success depends in part on our relationships with third-party distribution channels to list our units online and raise awareness of our brand. In particular, we generate demand by marketing our units with OTAs, such as Airbnb, Booking.com, and Expedia. Bookings through these OTAs and other indirect channels accounted for over half of our revenues in the year ended December 31, 2023. The terms of some of our agreements with these partners allow the partner to change or terminate terms at their discretion. If any of our partners terminate their relationship with us or refuse to renew their agreement with us on commercially reasonable terms, we would need to find alternate providers and may not be able to secure similar terms or replace such providers in acceptable time frames. Additionally, many of these OTAs have discretion in how units are listed or prioritized within their platform and may unilaterally reduce the visibility of our units. Our revenues have in the past been and could be adversely affected if our units are not featured prominently or accurately within OTA platforms for any reason, including changes in an OTA’s relationship with us or its competitors, errors by an OTA, outages experienced by an OTA, disruptions in the interconnection of our systems with OTAs’ systems, or otherwise. For example, certain of our units have been temporarily removed from OTAs’ platforms due to misunderstandings about our units’ regulatory status or misclassification of units by local regulators, resulting in lost revenue. If our relationship with an OTA is terminated or the OTA makes changes that reduce the prominence of our units on its platform, our revenue could be materially adversely affected.</w:t>
      </w:r>
    </w:p>
    <w:p>
      <w:pPr>
        <w:spacing w:after="0" w:line="3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relationships with OTAs and other distribution partners may shift as industry dynamics change, and these third parties may be less willing to partner with us as such shifts occur. For example, should a significant distribution partner adjust its platform to compete more directly with us, that partner may be more likely to promote and sell its own offerings, impose additional conditions on us or even cease listing our units. Similarly, if any significant distribution partner decided to sell another competitor’s offerings over ours, it could adversely impact our sales and harm our business, operating results, and prospects.</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Furthermore, any negative publicity related to any of our distribution partners, including any negative publicity related to quality standards, regulatory issues, or privacy or safety concerns at other properties listed by a particular channel partner, could adversely affect our reputation and brand, and could potentially lead to increased regulatory or litigation exposure.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generated through indirect channels could adversely affect guest loyalty and poses other risks to us.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strategy includes increasing the proportion of stays booked directly with us through our website, mobile app, and our sales personnel, but we may be unsuccessful in increasing direct bookings, and we expect to continue to rely to a significant extent on bookings through OTAs and other internet-based travel intermediaries. In the year ended December 31, 2023, over half of our revenues were attributable to bookings through OTAs and other indirect channels. Major Internet search companies also provide online travel services that compete with our direct bookings. If indirect channels increase in popularity, these intermediaries may be able to obtain higher commissions or other concessions from us. Some travel intermediaries are also entering into arrangements that compete with us more directly, such as partnering with hotel owners to provide access to technology or consumer data, or to operate under the intermediary’s brand. Intermediaries may reduce bookings at our properties by de-emphasizing our properties in search results on their platforms, or requiring our listings to meet certain criteria, and other online providers may divert business away from our properties.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There can be no assurance that we will be able to negotiate or maintain favorable terms with intermediaries. Moreover, hospitality intermediaries generally employ aggressive marketing strategies, including significant advertising spending to drive consumers to their websites, and some consumers are conducting an increasing portion of their activities through so-called “super-apps.” Consumers may develop brand loyalties to the intermediaries’ brands, websites, apps and reservations systems rather than to ours. This may make our branding efforts less effective, reduce guest loyalty and recurring demand, and require us to increase our marketing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results of operations vary from period-to-period, and historical performance may not be indicative of future performance.</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results of operations have historically varied from period-to-period, and we expect that our results of operations will continue to do so for a variety of reasons, many of which are outside of our control and difficult to predict. Because our results of operations may vary significantly from quarter-to-quarter and year-to-year, the results of any one period should not be relied upon as an indication of future performance. Our revenue, expenses, operating results and cash flows, as well as our key operating metrics, have fluctuated from quarter-to-quarter in the past and are likely to continue to do so in the future. These fluctuations are due to, or may result from, many factors, including:</w:t>
      </w:r>
    </w:p>
    <w:p>
      <w:pPr>
        <w:spacing w:after="0" w:line="384" w:lineRule="exact"/>
        <w:rPr>
          <w:sz w:val="20"/>
          <w:szCs w:val="20"/>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number of our Live Units;</w:t>
      </w:r>
    </w:p>
    <w:p>
      <w:pPr>
        <w:spacing w:after="0" w:line="27"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Occupancy Rates and average length of stay (“LOS”), which dictate many turnover costs;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fluctuations in demand, in certain markets;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fluctuations and the proportion of stays booked with extended stay discounts or promotional pricing;</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and performance of new properties, amenities, technologies and services, including how quickly new properties are ready for booking by guests;</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and the extent to which we realize the expected benefits from, our Cash Flow Positive Plan and our portfolio optimization program, and our relationship with Marriott pursuant to the Marriott Agreement;</w:t>
      </w: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cost and success of advertising and marketing initiatives;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financing activities, operating expenses and capital expenditures;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prevailing lease rates and any adjustments in rental rates under existing leases;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cash flow due to lease signings, renewals and amendments and property openings;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cash flow due to the unpredictability of guest cancellations;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cost of labor and supplies due to inflation and supply chain disruptions;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instability in major markets, and fluctuations in exchange rates;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or disruptions in the hospitality industry, particularly in cities or regions where we generate substantial revenue;</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natural disasters, and changes in the frequency and severity of natural disasters as a result of climate change;</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mix of stays booked through indirect distribution channels, rather than directly with us, and any changes in distribution channels’ fees or relationships with us;</w:t>
      </w: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disruptions or costs due to regulatory issues, including changes in short-term rental laws, hotel regulations, or zoning or accessibility laws;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and settlement costs, including unforeseen attorneys’ fees and costs;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continuing COVID-19 pandemic or other public health crises;</w:t>
      </w:r>
    </w:p>
    <w:p>
      <w:pPr>
        <w:spacing w:after="0" w:line="11" w:lineRule="exact"/>
        <w:rPr>
          <w:rFonts w:ascii="Times New Roman" w:cs="Times New Roman" w:eastAsia="Times New Roman" w:hAnsi="Times New Roman"/>
          <w:sz w:val="16"/>
          <w:szCs w:val="16"/>
          <w:color w:val="auto"/>
        </w:rPr>
      </w:pPr>
    </w:p>
    <w:p>
      <w:pPr>
        <w:ind w:left="580" w:hanging="288"/>
        <w:spacing w:after="0" w:line="271" w:lineRule="auto"/>
        <w:tabs>
          <w:tab w:leader="none" w:pos="5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accounting pronouncements and changes in accounting standards or practices, particularly any affecting the recognition of revenue as well as accounting for leases;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580" w:hanging="288"/>
        <w:spacing w:after="0" w:line="262" w:lineRule="auto"/>
        <w:tabs>
          <w:tab w:leader="none" w:pos="57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fair value of certain of our warrants, the Earn Out Liability related to the Business Combination, and other instruments carried at fair value, which have required and may in the future require us to record non-cash gains or losses in our quarterly results of operations, which may be material and which are driven by changes in our stock price and other factors outside of our control;</w:t>
      </w:r>
    </w:p>
    <w:p>
      <w:pPr>
        <w:jc w:val="both"/>
        <w:ind w:left="580" w:right="20" w:hanging="288"/>
        <w:spacing w:after="0" w:line="255" w:lineRule="auto"/>
        <w:tabs>
          <w:tab w:leader="none" w:pos="57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additional impairments of the right-of-use assets recorded with respect to our operating leases, or other impairments of long-lived assets, that may be recorded if there are any events or changes in circumstances that indicate that the carrying amount of the long-lived asset might not be recoverable, which have resulted in and may in the future result in additional non-cash expenses in our results of operations;</w:t>
      </w:r>
    </w:p>
    <w:p>
      <w:pPr>
        <w:spacing w:after="0" w:line="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laws or regulations, or new interpretations of existing laws or regulations, that harm our business or restrict short-term rentals, the hospitality industry, travel, the Internet, e-commerce, online payments, or online communications; and</w:t>
      </w:r>
    </w:p>
    <w:p>
      <w:pPr>
        <w:ind w:left="580" w:hanging="288"/>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described elsewhere herein.</w:t>
      </w:r>
    </w:p>
    <w:p>
      <w:pPr>
        <w:spacing w:after="0" w:line="2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Fluctuations in operating results may, particularly if unforeseen, cause us to miss projections or guidance we may have provided to the public. In addition, a significant portion of our expenses and investments, such as our leases, are fixed and such fluctuations in operating results may cause us to face short-term liquidity issues, impact our ability to retain or attract key personnel or expand our portfolio of properties, or cause other unanticipated issues. Company-wide margins may also be difficult to predict because a significant portion of the property portfolio will still be opening or only recently operating at any point in time, and therefore will not be comparable to the profitability of more mature units. In addition, seasonal fluctuations obscure important trends in key metrics such as Free Cash Flow, which may fall below the expectations of investors or securities analysts and cause our stock price to fluctuate or decline. As a result of the potential variability in our quarterly revenue and operating results, we believe that quarter-to-quarter comparisons of our revenue and operating results may not be meaningful, and the results of any one quarter should not be relied upon as an indication of future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the measures we use to evaluate our operating performance are subject to inherent challenges in measurement and may be subject to future adjustments.</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track certain operational metrics, including key performance indicators such as Live Units, Contracted Units, Total Portfolio, Room Nights Booked, Bookable Nights, Occupied Nights, Occupancy Rate, Average Daily Rate (“ADR”), and RevPAR, with internal systems and tools that are not independently verified by any third party.</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While the metrics presented herein are based on what we believe to be reasonable assumptions and estimates, our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key performance indicators or contain other technical errors, the data we report or rely upon for planning and forecasting may not be accurate. If investors do not perceive our operating metrics to be accurate, or if we discover material inaccuracies with respect to these figures, our reputation may be significantly harmed, and our business, results of operations, financial condition, and cash flows could be adversely affected.</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our reputation and the strength of our brand, and any deterioration could adversely impact our market share, revenues, business, results of operations, financial condition, and cash flows.</w:t>
      </w:r>
    </w:p>
    <w:p>
      <w:pPr>
        <w:spacing w:after="0" w:line="16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Our business depends on our reputation and the strength of our brand. We believe that the strength of our reputation and brand are important to our ability to attract and retain guests, to compete for attractive new properties, and to establish and preserve good relationships with the communities in which we operate and with local governmental authorities and regulators. Many factors can affect our reputation and the strength of our brand, including:</w:t>
      </w:r>
    </w:p>
    <w:p>
      <w:pPr>
        <w:spacing w:after="0" w:line="180" w:lineRule="exact"/>
        <w:rPr>
          <w:sz w:val="20"/>
          <w:szCs w:val="20"/>
          <w:color w:val="auto"/>
        </w:rPr>
      </w:pPr>
    </w:p>
    <w:p>
      <w:pPr>
        <w:ind w:left="580" w:hanging="288"/>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quality of guest service and the guest experience, and the nature and severity of guest complaints;</w:t>
      </w:r>
    </w:p>
    <w:p>
      <w:pPr>
        <w:spacing w:after="0" w:line="27"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Guest safety and their perception of safety;</w:t>
      </w:r>
    </w:p>
    <w:p>
      <w:pPr>
        <w:spacing w:after="0" w:line="1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Guest privacy and data security practices, and any breaches of privacy or data security, including the security incident involving unauthorized access to one of our systems, which included certain guest records, that we announced in November 2022;</w:t>
      </w:r>
    </w:p>
    <w:p>
      <w:pPr>
        <w:ind w:left="580" w:hanging="288"/>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Publicized incidents in or around our properties;</w:t>
      </w:r>
    </w:p>
    <w:p>
      <w:pPr>
        <w:spacing w:after="0" w:line="11" w:lineRule="exact"/>
        <w:rPr>
          <w:rFonts w:ascii="Times New Roman" w:cs="Times New Roman" w:eastAsia="Times New Roman" w:hAnsi="Times New Roman"/>
          <w:sz w:val="16"/>
          <w:szCs w:val="16"/>
          <w:color w:val="auto"/>
        </w:rPr>
      </w:pPr>
    </w:p>
    <w:p>
      <w:pPr>
        <w:ind w:left="580" w:right="20" w:hanging="288"/>
        <w:spacing w:after="0" w:line="271" w:lineRule="auto"/>
        <w:tabs>
          <w:tab w:leader="none" w:pos="57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integration of our properties with Marriott’s systems, distribution channels, and branding, the strength of Marriott’s brand and guests’ perception of our relationship with Marriott;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delay in our SEC reports resulting from our accounting restatement announced in March 2024;</w:t>
      </w:r>
    </w:p>
    <w:p>
      <w:pPr>
        <w:spacing w:after="0" w:line="27" w:lineRule="exact"/>
        <w:rPr>
          <w:rFonts w:ascii="Times New Roman" w:cs="Times New Roman" w:eastAsia="Times New Roman" w:hAnsi="Times New Roman"/>
          <w:sz w:val="16"/>
          <w:szCs w:val="16"/>
          <w:b w:val="1"/>
          <w:bCs w:val="1"/>
          <w:i w:val="1"/>
          <w:iCs w:val="1"/>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as a going concern;</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and labor relations;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local concerns about perceived over-tourism or the effect of new hotels or other accommodations on affordable housing, noise or neighborhood congestion;</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support for local communities, and other community relations matters;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approach to supply chain management, sustainability, human rights, DEI, and other matters relating to corporate social responsibility;</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operate properties that carry the owner’s branding or are co-branded with us;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use our brand and trademarks;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perceived or alleged non-compliance with regulatory requirements.</w:t>
      </w:r>
    </w:p>
    <w:p>
      <w:pPr>
        <w:spacing w:after="0" w:line="2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Reputational value is also based on perceptions, and broad access to social media makes it easy for anyone to provide public feedback that can influence perceptions of us, our brand, and our properties. It may be difficult to control or effectively manage negative publicity, regardless of whether it is accurate.</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ability to control our reputation and brand is also limited due to the role of third parties in our business. For example, currently, guests who book stays through OTAs and other indirect channels sometimes have issues with their bookings that we do not control, such as refund and cancellation terms, which may result in disputes or otherwise negatively affect our reputation. Similar issues may arise with respect to bookings made through Marriott’s platform and distribution channels. We also rely on third-party companies to provide some guest services, including housekeeping and linen services at many of our locations, and remote guest support. We do not directly control these companies or their personnel. We also depend upon our landlords to perform important maintenance and other functions at our properties, particularly in common areas, and at many properties we do not control access to or amenities at the entire building, including pools, gyms and food and beverage services. Guest complaints or negative publicity about our properties, services or business activities, due to our own operations or actions or omissions of third parties, could diminish consumer confidence in the Sonder brand and impair our relationships with guests, landlords, governmental authorities, local residents, third-party business partners, and others that are important to our business.</w:t>
      </w:r>
    </w:p>
    <w:p>
      <w:pPr>
        <w:spacing w:after="0" w:line="38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involved in and may in the future become involved in claims, lawsuits, and other proceedings that could adversely affect our business, results of operations, financial condition, and cash flows.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involved in various legal proceedings relating to matters incidental to the ordinary course of our business and may be subject to additional legal proceedings from time to time. Such legal actions include tort and other general liability claims, employee claims, consumer protection claims, violation of privacy claims, commercial disputes, claims by guests, claims under state and federal law, intellectual property claims, and disputes with landlords. Due to the potential risks, expenses, and uncertainties of litigation, we may, from time to time, settle disputes even where we have meritorious claims or defenses. We are involved in and may also in the future be the subject of subpoenas, requests for information, reviews, investigations, and proceedings (both formal and informal) by governmental agencies regarding our business activities. Legal and regulatory proceedings can be time-consuming, divert management’s attention and resources, and cause us to incur significant expenses or liability for substantial damages. The timing and amount of these expenses and damages are difficult to estimate and subject to change, and they could adversely affect our business, results of operations, financial condition, and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liability for the activities of our guests or other incidents at our properties, which could harm our reputation and increase our operating costs.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may be subject to claims of liability based on events that occur during guests’ stays, including those related to robbery, injury, illness, death, physical damage to property, and other similar incidents. These claims could increase our operating costs and adversely affect our business and results of operations, even if they do not result in liability, as we may incur costs related to investigation and defense. This risk is heightened due to the fact that, in many cases, we do not control access to certain areas of buildings in which our units are located. From time to time, we must also spend time and resources resolving issues with guests who remain past their paid stay, which results in lost revenue and higher costs. If we are subject to additional disputes, liability or claims of liability relating to the acts of our guests, third parties in or around our leased properties (including residents of these properties who are not our guests) or the condition of the leased properties, we may be subject to negative publicity, incur additional expenses, face regulatory or governmental scrutiny, and be subject to liability, any of which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claims and liabilities associated with potential health and safety issues and hazardous substances at our properties.</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and the developers and owners of our leased properties are exposed to potentially significant liabilities and compliance costs as a result of any hazardous or unsafe conditions at our properties, including under environmental, health and safety laws and regulations. These laws and regulations govern matters such as the release, use, storage, and disposal of hazardous and toxic substances, such as asbestos, mold, radon gas, or lead, and unsafe or unhealthy conditions at hotels and other residential premises. Failure to comply with these laws, including any required permits or licenses, can result in substantial fines or possible revocation of our authority to conduct operations. Any impairment of our or our landlords’ authority to permit hospitality operations at our leased properties, due to these factors, could harm our reputation and revenue. We could also be liable under environmental, health and safety laws for the costs of investigation, removal, or remediation of hazardous or toxic substances or unsafe or unhealthy conditions at our currently or formerly leased or managed properties, even if we did not know of or cause the presence or release of the substances or conditions, and even where this is contractually the responsibility of our landlord.</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presence or release of toxic, unhealthy or hazardous substances or conditions at our properties could result in governmental investigations and third-party claims for personal injury, property or natural resource damages, business interruption or other losses, and costly disputes with our landlords and guests. For example, we have engaged in litigation with one of our landlords relating to the presence of toxic mold at one property, and we have faced expensive and disruptive claims relating to Legionella bacteria contamination in the water supply at another property, including lawsuits by guests. We expect to encounter claims, governmental investigations and potential enforcement actions about property conditions and related matters in the future. These claims and the need to investigate, remediate or otherwise address hazardous, toxic, or unsafe conditions could adversely affect our reputation, business, results of operations, financial condition, and cash flows. Environmental, health and safety requirements have also become increasingly stringent, and our costs may increase as a result. New or revised laws and regulations or new interpretations of existing laws and regulations, such as those related to climate change, could affect the operation of our properties or result in significant additional expense and restrictions on our business operations.</w:t>
      </w:r>
    </w:p>
    <w:p>
      <w:pPr>
        <w:spacing w:after="0" w:line="3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rely on our third-party landlords to deliver properties to us in a safe and suitable condition, and in most cases we do not undertake to independently verify the safety, suitability or condition of the properties we lease. We expect to continue to rely on landlords to disclose information about their properties, though such disclosures may be inaccurate or incomplete, and to keep the properties in a safe and compliant condition in accordance with the terms of our leases and applicable law. If unsafe or unhealthy conditions are present or develop at our properties, our guests may be harmed, we may be subject to expensive and disruptive claims, and our reputation, business, results of operations, financial condition, and cash flows could be materially and adversely affected. In certain cases, we may undertake to terminate a lease based on a landlord’s failure to remediate an unsafe or unhealthy condition at the property, in which case we could be subject to costly litigation which could harm our business and operating results.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the risk of financial and reputational damage due to fraud.</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have from time to time experienced, and expect to continue to experience, fraud in connection with bookings and payments. The methods used by perpetrators of fraud are complex and constantly evolving. We devote substantial resources to trust and security measures, but they may not detect all fraudulent activity or prevent stays that are disruptive or harmful to neighbors or other guests. As a result, we expect to continue to receive complaints from guests and requests for reimbursement of their payments, as well as actual or threatened related legal action against us, and lost revenue and other financial impacts, due to fraudulent activity or the actions of persons booking stays under false pretenses.</w:t>
      </w:r>
    </w:p>
    <w:p>
      <w:pPr>
        <w:spacing w:after="0" w:line="18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depend on our key personnel and other highly skilled personnel, and if we fail to attract, retain, motivate or integrate our personnel, our business, results of operations, financial condition, and cash flows could be adversely affected.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success depends to a significant degree on the continued service of our founders, senior management team, key technical, financial and operations employees and other highly skilled personnel and on our ability to identify, hire, develop, promote, motivate, retain, and integrate highly qualified personnel for all areas of our organization. We may not be successful in attracting and retaining qualified personnel to fulfill our current or future needs. In addition, all of our U.S.-based employees, including our management team, work for Sonder on an at-will basis, and there is no assurance that any such employee will remain with us. Competitors may be successful in recruiting and hiring members of our management team or other key employees, and it may be difficult to find suitable replacements on a timely basis, 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competitive terms or at all. If we are unable to attract and retain the necessary personnel, particularly in critical areas of our business, we may not achieve our strategic goals.</w:t>
      </w:r>
    </w:p>
    <w:p>
      <w:pPr>
        <w:spacing w:after="0" w:line="200" w:lineRule="exact"/>
        <w:rPr>
          <w:sz w:val="20"/>
          <w:szCs w:val="20"/>
          <w:color w:val="auto"/>
        </w:rPr>
      </w:pP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face intense competition for highly skilled personnel in all areas of our business, and the move by companies to offer a remote or hybrid work environment may increase the competition for employees. To attract and retain top talent, we have had to offer, and we believe we will need to continue to offer, competitive compensation and benefits packages. Job candidates and existing personnel often consider the value of the equity awards they receive in connection with their employment. If the perceived value of our equity awards declines, including due to the decline in our stock price since our January 2022 Business Combination, it may adversely affect our ability to attract and retain highly qualified personnel.</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Volatility or lack of performance in our stock price may also affect our ability to attract and retain employees.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continued focus on operational efficiencies, particularly after the restructuring that we announced in June 2022 and the additional reductions in corporate headcount that we announced in March 2023 and February 2024, and the organizational changes that are expected to result from our new relationship with Marriott announced in August 2024, may cause additional uncertainty among existing and prospective employees, which may make it more difficult to retain or attract highly qualified personnel for important roles. We may need to invest significant amounts of cash and equity to attract and retain new employees and expend significant time and resources to identify, recruit, train and integrate such employees, and we may never realize returns on these investments. In addition, prolonged remote work, as well as the impacts of COVID-19 more generally, introduced new dynamics into the households of many of our employees, including struggling with work-life balance, and we experienced and may continue to experience higher levels of attrition. If we are unable to effectively manage our hiring needs or successfully integrate new hires, or effectively retain current employees, our efficiency, ability to meet forecasts and employee morale, productivity and retention could suffer, which could adversely affect our business, results of operations, financial condition, and cash flows.</w:t>
      </w:r>
    </w:p>
    <w:p>
      <w:pPr>
        <w:spacing w:after="0" w:line="18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the employment of hospitality personnel, particularly at locations that employ unionized labor, and the use of third-party guest services contractors.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hospitality employees and other guest services personnel are critical to our ability to add properties, maintain our units, enhance the guest experience, and attract and retain guests. If our relationship with employees in any city or at any key property, or within our central guest services function, deteriorates for any reason, our reputation, guest relationships and revenue may suffer, and we may incur costs to replace and retrain additional personnel or third-party contractors. In addition, many of our guest services representatives and housekeepers who provide services to us and our guests are employed by third-party agencies, which we do not control. Our business and reputation could be harmed in the event of any dispute with these agencies by their staff or with us, or if their staff do not provide services that meet our or our guests’ standards and expectations. Guest services, live support for guest bookings, and our expenses may also be adversely affected by any event that disrupts the operations of our third-party guest services contractors. For example, the typhoon that struck the Philippines in December 2021 disrupted our outsourced service center there, causing temporary delays in guest responses and other temporary disruptions in our operations. In addition, labor costs are a significant component of our operating expenses, and any increase in the cost of wages, benefits or other employee-related costs could cause our results of operations and cash flow to be lower than anticipated. Certain cities have also adopted re-hiring ordinances and other requirements with respect to hotel and other hospitality employees, and these and other employment regulations may increase our costs and impair our operations.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Like other businesses in the hospitality industry, we may be adversely affected by organized labor activity. Certain of our non-U.S. employees are currently represented by labor unions and/or covered by a collective bargaining agreement. Union, worker council or other organized labor activity may occur at other locations. We cannot predict the outcome of any labor-related proposal or other organized labor activity. Increased unionization of our workforce or other collective labor action, new labor legislation or changes in regulations could be costly, reduce our staffing flexibility or otherwise disrupt our operations, and reduce our profitability. From time to time, hospitality operations may be disrupted because of strikes, lockouts, public demonstrations or other negative actions and publicity involving employees and third-party contractors. We may also incur increased legal costs and indirect labor costs because of disputes involving our workforce. The resolution of labor disputes or new or renegotiated labor contracts could lead to increased labor costs, which are a significant component of our operating costs, either by increases in wages or benefits or by changes in work rules that raise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operating costs. Labor disputes and disruptions may also occur within the workforce of our landlords at buildings we lease, which could harm our guests’ experience and reduce bookings at the affected property.</w:t>
      </w:r>
    </w:p>
    <w:p>
      <w:pPr>
        <w:spacing w:after="0" w:line="16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and may identify material weaknesses in the future or otherwise fail to maintain an effective system of internal controls, which may result in material misstatements of our consolidated financial statements or other adverse consequences.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identified material weaknesses in our internal control over financial reporting as of December 31 2023, which, if not remediated, could affect the reliability of our consolidated financial statements and have other adverse consequences.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identified material weaknesses in internal control over financial reporting as of December 31, 2023 related to:</w:t>
      </w:r>
    </w:p>
    <w:p>
      <w:pPr>
        <w:spacing w:after="0" w:line="232" w:lineRule="exact"/>
        <w:rPr>
          <w:sz w:val="20"/>
          <w:szCs w:val="20"/>
          <w:color w:val="auto"/>
        </w:rPr>
      </w:pPr>
    </w:p>
    <w:p>
      <w:pPr>
        <w:ind w:left="580" w:hanging="288"/>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process to capture and record lease agreements timely and accurately;</w:t>
      </w:r>
    </w:p>
    <w:p>
      <w:pPr>
        <w:spacing w:after="0" w:line="27" w:lineRule="exact"/>
        <w:rPr>
          <w:rFonts w:ascii="Times New Roman" w:cs="Times New Roman" w:eastAsia="Times New Roman" w:hAnsi="Times New Roman"/>
          <w:sz w:val="16"/>
          <w:szCs w:val="16"/>
          <w:color w:val="auto"/>
        </w:rPr>
      </w:pPr>
    </w:p>
    <w:p>
      <w:pPr>
        <w:jc w:val="both"/>
        <w:ind w:left="580" w:right="20" w:hanging="288"/>
        <w:spacing w:after="0" w:line="255" w:lineRule="auto"/>
        <w:tabs>
          <w:tab w:leader="none" w:pos="57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deficiencies in the control activities component of the relevant framework, relating to (a) establishing and consistently applying formal policies and procedures, and (b) hiring and training sufficient personnel to timely support our internal control objectives to ascertain whether the components of internal control are present and functioning, as further described in Part II, Item 9A. Controls and Procedures, of this report; and</w:t>
      </w:r>
    </w:p>
    <w:p>
      <w:pPr>
        <w:spacing w:after="0" w:line="1" w:lineRule="exact"/>
        <w:rPr>
          <w:rFonts w:ascii="Times New Roman" w:cs="Times New Roman" w:eastAsia="Times New Roman" w:hAnsi="Times New Roman"/>
          <w:sz w:val="16"/>
          <w:szCs w:val="16"/>
          <w:color w:val="auto"/>
        </w:rPr>
      </w:pPr>
    </w:p>
    <w:p>
      <w:pPr>
        <w:ind w:left="580" w:right="20" w:hanging="288"/>
        <w:spacing w:after="0" w:line="271" w:lineRule="auto"/>
        <w:tabs>
          <w:tab w:leader="none" w:pos="57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asset impairment matters and related restatement of our previously issued financial statements which are discussed in the Explanatory Note above and in Note 2. </w:t>
      </w:r>
      <w:r>
        <w:rPr>
          <w:rFonts w:ascii="Times New Roman" w:cs="Times New Roman" w:eastAsia="Times New Roman" w:hAnsi="Times New Roman"/>
          <w:sz w:val="16"/>
          <w:szCs w:val="16"/>
          <w:i w:val="1"/>
          <w:iCs w:val="1"/>
          <w:color w:val="auto"/>
        </w:rPr>
        <w:t>Restatement of Previously Issued Financial Statements</w:t>
      </w:r>
      <w:r>
        <w:rPr>
          <w:rFonts w:ascii="Times New Roman" w:cs="Times New Roman" w:eastAsia="Times New Roman" w:hAnsi="Times New Roman"/>
          <w:sz w:val="16"/>
          <w:szCs w:val="16"/>
          <w:color w:val="auto"/>
        </w:rPr>
        <w:t>, to the consolidated financial statements included in this report.</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Although we remain committed to taking actions to remediate these material weaknesses in our internal control over financial reporting, including efforts to enhance our control environment, we can give no assurance that our efforts will succeed in remediating these deficiencies in internal control over financial reporting or that additional material weaknesses in our internal control over financial reporting will not be identified in the future.</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Pursuant to the SEC rules that implement Section 404 of the Sarbanes-Oxley Act, as a public company,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Despite our efforts, there is a risk that we will not be able to conclude, within the prescribed time period or at all, that our internal control over financial reporting is effective as required by Section 404 of the Sarbanes-Oxley Act. Moreover, our testing may reveal deficiencies in our internal control over financial reporting that are deemed to be material weaknesses.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failure to remediate any material weaknesses, and to implement and maintain effective internal control over financial reporting, could result in errors in our consolidated financial statements, including errors that could result in a restatement of our consolidated financial statements, and could cause us to fail to meet our reporting obligations and result in other adverse consequences, such as violations of contractual or debt covenants, potential delisting from Nasdaq, SEC or other regulatory investigations and civil or criminal sanctions, or claims or litigation against us, any of which could diminish investor confidence in us, require the expenditure of additional resources, make it more difficult to raise capital, and cause a decline in the price of our common stock and publicly traded warrants.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disclosure controls, our ability to produce timely and accurate financial statements or comply with applicable regulations could be impaired, which may adversely affect investor confidence in us and, as a result, the market price of our common stock.</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As a public company, we are required to comply with the requirements of the Sarbanes-Oxley Act, including, among other things, that we maintain effective disclosure controls and procedures.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As of December 31, 2023, our management concluded that our disclosure controls and procedures were not effective due to the existence of the material weaknesses described above. See Part II, Item 9A of this report for more information. Any failure to implement and maintain effective disclosure controls and procedures could cause investors to lose confidence in the accuracy and completeness of our financial statements and reports, which would likely adversely affect the market price of our publicly traded securities and could subject us to potential delisting from Nasdaq, SEC or other regulatory investigations and civil or criminal sanctions, or claims or litigation against us, any of which could diminish investor confidence in us, require the expenditure of additional resources, make it more difficult to raise capital, and cause a decline in the price of our common stock and publicly traded warrants.</w:t>
      </w:r>
    </w:p>
    <w:p>
      <w:pPr>
        <w:spacing w:after="0" w:line="1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the restatement of our previously issued consolidated financial statements and financial information, and that restatement and any future financial restatement or correction may adversely affect us.</w:t>
      </w:r>
    </w:p>
    <w:p>
      <w:pPr>
        <w:spacing w:after="0" w:line="16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6"/>
          <w:szCs w:val="16"/>
          <w:color w:val="auto"/>
        </w:rPr>
        <w:t xml:space="preserve">As described in the Explanatory Note above and in our Current Report on Form 8-K filed with the SEC dated March 15, 2024, on March 14, 2024, the Audit Committee of our Board of Directors determined, based on management’s recommendation, that our audited consolidated financial statements for the year ended December 31, 2022, and the unaudited condensed consolidated financial statements included in each of the Company’s quarterly reports on Form 10-Q filed with the SEC in 2023, should no longer be relied upon due to accounting errors related to the valuation and impairment of operating lease right of use assets and related items, and should be restated. See Note 2. </w:t>
      </w:r>
      <w:r>
        <w:rPr>
          <w:rFonts w:ascii="Times New Roman" w:cs="Times New Roman" w:eastAsia="Times New Roman" w:hAnsi="Times New Roman"/>
          <w:sz w:val="16"/>
          <w:szCs w:val="16"/>
          <w:i w:val="1"/>
          <w:iCs w:val="1"/>
          <w:color w:val="auto"/>
        </w:rPr>
        <w:t>Restatement of Previously Issued Financial Statements</w:t>
      </w:r>
      <w:r>
        <w:rPr>
          <w:rFonts w:ascii="Times New Roman" w:cs="Times New Roman" w:eastAsia="Times New Roman" w:hAnsi="Times New Roman"/>
          <w:sz w:val="16"/>
          <w:szCs w:val="16"/>
          <w:color w:val="auto"/>
        </w:rPr>
        <w:t>, to the consolidated financial statements included within Part II, Item 8 of this Annual Report on Form 10-K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 II, Item 9A.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 xml:space="preserve"> for additional information.</w:t>
      </w:r>
    </w:p>
    <w:p>
      <w:pPr>
        <w:spacing w:after="0" w:line="19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As a result of the restatement, we are subject to a number of additional risks and uncertainties which may affect investor confidence in the accuracy of our financial disclosures and may raise reputational issues for our business. We expect to continue to face many risks and challenges related to potential errors in future financial statements as the existence of unremediated material weaknesses may not timely detect and prevent errors in future financial statements. The restatement process described in this report has required, and the evaluation of controls, require additional professional fees and internal resources, including management time and attention, which negatively impact our business and financial results. We are also subject to litigation or other claims, disputes, investigations or proceedings, which may include, among others, claims invoking the federal and state securities laws, governmental investigations, or other claims, related to the above-described restatement, or to weaknesses or deficiencies in our internal control over financial reporting or our other controls and procedures.</w:t>
      </w:r>
    </w:p>
    <w:p>
      <w:pPr>
        <w:spacing w:after="0" w:line="19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cannot assure you that all of the risks described above will be eliminated or that the restatement described in this report, or any future restatement, will not cause financial or reputational harm to our business. If one or more of the foregoing risks or challenges persist, our business, results of operations, financial condition, and cash flows could be materially and adversely affected.</w:t>
      </w:r>
    </w:p>
    <w:p>
      <w:pPr>
        <w:spacing w:after="0" w:line="17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b w:val="1"/>
          <w:bCs w:val="1"/>
          <w:i w:val="1"/>
          <w:iCs w:val="1"/>
          <w:color w:val="auto"/>
        </w:rPr>
        <w:t>Our delayed SEC filings have made us currently ineligible to use certain registration statements to register the offer and sale of securities, which could have adverse effects including on our ability to raise capital or employee retention and recruitment.</w:t>
      </w:r>
    </w:p>
    <w:p>
      <w:pPr>
        <w:spacing w:after="0" w:line="15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Because we were unable to file this Form 10-K or our quarterly reports on Form 10-Q for the quarters ended March 31, 2024 and June 30, 2024 with the SEC on a timely basis, we will not be eligible to register the offer and sale of our securities using a registration statement on Form S-3 until we have timely filed all periodic reports required under the Exchange Act for one year. Should we wish to register the offer and sale of our securities to the public prior to the time we are eligible to use Form S-3, including for purposes of raising capital or permitting the resale of privately placed securities, we will be required to file a registration statement on Form S-1 and have it reviewed and declared effective by the SEC. Doing so would likely take longer than filing a registration statement on Form S-3 and increase our transaction costs,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making it more difficult to execute any such transaction successfully and potentially harming our liquidity and financial condition. We will also need to file a post-effective amendment on Form S-1 to convert our previous Form S-3 registration statement with respect to resales of securities into a Form S-1, which may be reviewed and will need to be declared effective by the SEC. We cannot predict when we will regain eligibility to use Form S-3, due in part to the uncertainties associated with our previously announced financial restatement process and the possibility of additional delays in our SEC filings.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Furthermore, our failure to timely file our periodic reports with the SEC resulted in the suspension of the availability of Form S-8 for issuances of shares pursuant to our equity incentive plans for employees and directors. For that reason, employees and directors have not been permitted to exercise outstanding stock options or receive unrestricted shares of our common stock pursuant to restricted stock units or other equity awards, and we will remain unable to grant other equity awards under our Form S-8 registration statements, until such time that we are deemed to have filed all reports and other materials required to be filed under the Exchange Act. This includes filing our quarterly reports on Form 10-Q for the quarters ended March 31, 2024 and June 30, 2024, future quarterly reports on Form 10-Q, and other SEC reports. The suspension of our ability to utilize Form S-8 has adversely impacted employee morale, incentives, and recruitment, and if we fail to file future required reports, our ability to use Form S-8 for the above purposes will remain or again be suspended, which could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adapt to changes in technology, our business could be harmed.</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website and mobile app, and the technology-enabled features of our units, are critical to our business, and guests increasingly demand technology-driven features and amenities when they seek accommodations. Therefore, we will need to continuously modify and enhance our services and business systems to keep pace with technological changes, including changes related to the integration of our properties with Marriott’s systems pursuant to the Marriott Agreement. We may not be successful in developing necessary, functional, and popular modifications and enhancements. Furthermore, uncertainties about the timing and nature of these necessary changes could result in unplanned research and development expenses which could result in a failure to meet our financial projections or divert resources from other business initiatives. In addition, if our properties, website or mobile app, or internal systems fail to operate effectively with future technologies, we could experience guest dissatisfaction, lost revenue, difficulties in providing customer service or adding new properties to our portfolio, or other disruptions in our operations, any of which could materially harm our business.</w:t>
      </w:r>
    </w:p>
    <w:p>
      <w:pPr>
        <w:spacing w:after="0" w:line="3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rely on certain third-party technologies and services, and any failures of or defects in these technologies or any inability to obtain or integrate third-party technologies could harm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rely on software and other technologies and services supplied by third parties to provide certain services to us and our guests, including internal communications, customer service communications, web hosting, payment processing of guest credit cards, fraud prevention, lease management, accounting and other internal functions, and other technologies employed to facilitate bookings and guests’ use and enjoyment of our properties, such as digital locks and streaming television services. As we increase the use of third-party systems in our business and as new technology is developed, and as we integrate our properties with Marriott’s systems and technologies under the Marriott Agreement, the integration of our products and services with one another and other companies’ offerings creates an increasingly complex ecosystem that is also partly reliant on third parties. Our business may be adversely affected to the extent such software, services and technologies contain errors or vulnerabilities, are compromised or experience outages, or otherwise fail to meet expectations. Errors, outages, vulnerabilities and other issues with third-party software, services and technologies have occurred in the past, and additional issues can be expected to occur in the future. Third-party vendors may also fail to provide timely and effective support. Our increasing reliance on third parties for technology development and support may also subject us to additional risks, including potential challenges in protecting our intellectual property rights in the related technology, and reduced control over the individuals working on our technology projects. Any of these risks could increase our costs and adversely affect our business, results of operations, financial condition, and cash flows. In addition, we are in the process of implementing additional third-party systems and other infrastructure, and we may encounter unexpected difficulties or disruptions in implementing or integrating these systems, possibly including disruptions to critical systems or other unanticipated effects on existing systems or other concurrent technology development projects.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When we incorporate technology from third parties with our technology or otherwise use it to operate our business, we cannot be certain that our licensors are not infringing the intellectual property rights of others or that our suppliers and licensors have sufficient rights to the technology in all jurisdictions in which we may operate. If we are unable to obtain or maintain rights to any of this technology because of intellectual property infringement claims brought by third parties against our suppliers and licensors or against us, our ability to operate some aspects of our business could be severely limited and our business could be harmed. In addition, some of our license agreements may be terminated by our licensors for convenience.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In addition, we may be unable to enter into new agreements on commercially reasonable terms or develop our own technologies and amenities relying on or containing technology previously obtained from third parties. If alternate technology cannot be obtained or developed, we may not be able to offer certain functionality to our guests or manage our business as we had intended, which could adversely affect our business, results of operations, financial condition, and cash flows.</w:t>
      </w:r>
    </w:p>
    <w:p>
      <w:pPr>
        <w:spacing w:after="0" w:line="3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See the risk factor entitled “</w:t>
      </w:r>
      <w:r>
        <w:rPr>
          <w:rFonts w:ascii="Times New Roman" w:cs="Times New Roman" w:eastAsia="Times New Roman" w:hAnsi="Times New Roman"/>
          <w:sz w:val="16"/>
          <w:szCs w:val="16"/>
          <w:i w:val="1"/>
          <w:iCs w:val="1"/>
          <w:color w:val="auto"/>
        </w:rPr>
        <w:t>If our data or information technology systems, or those of third parties with whom we work, are or were again compromised, we could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experience, and have in the past experienced, adverse consequences including regulatory investigations or actions; litigation, including class claims; fines and penalties; disruptions of our business operations; reputational harm; loss of revenue or profits; loss of guest loyalty or sales; and other adverse consequences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31F20"/>
        </w:rPr>
        <w:t>for further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231F20"/>
        </w:rPr>
        <w:t xml:space="preserve">concerning certain risks related to our reliance on third parties, and the risk factor entitled </w:t>
      </w:r>
      <w:r>
        <w:rPr>
          <w:rFonts w:ascii="Times New Roman" w:cs="Times New Roman" w:eastAsia="Times New Roman" w:hAnsi="Times New Roman"/>
          <w:sz w:val="16"/>
          <w:szCs w:val="16"/>
          <w:i w:val="1"/>
          <w:iCs w:val="1"/>
          <w:color w:val="231F20"/>
        </w:rPr>
        <w:t>“</w:t>
      </w:r>
      <w:r>
        <w:rPr>
          <w:rFonts w:ascii="Times New Roman" w:cs="Times New Roman" w:eastAsia="Times New Roman" w:hAnsi="Times New Roman"/>
          <w:sz w:val="16"/>
          <w:szCs w:val="16"/>
          <w:i w:val="1"/>
          <w:iCs w:val="1"/>
          <w:color w:val="000000"/>
        </w:rPr>
        <w:t>We may not realize the anticipated benefits from our agreement with Marriott at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000000"/>
        </w:rPr>
        <w:t xml:space="preserve">the time or to the degree that we anticipate, or at all, and our agreement with Marriott may expose us to other risks and uncertainties” </w:t>
      </w:r>
      <w:r>
        <w:rPr>
          <w:rFonts w:ascii="Times New Roman" w:cs="Times New Roman" w:eastAsia="Times New Roman" w:hAnsi="Times New Roman"/>
          <w:sz w:val="16"/>
          <w:szCs w:val="16"/>
          <w:color w:val="231F20"/>
        </w:rPr>
        <w:t>for further information about certain</w:t>
      </w:r>
      <w:r>
        <w:rPr>
          <w:rFonts w:ascii="Times New Roman" w:cs="Times New Roman" w:eastAsia="Times New Roman" w:hAnsi="Times New Roman"/>
          <w:sz w:val="16"/>
          <w:szCs w:val="16"/>
          <w:i w:val="1"/>
          <w:iCs w:val="1"/>
          <w:color w:val="000000"/>
        </w:rPr>
        <w:t xml:space="preserve"> </w:t>
      </w:r>
      <w:r>
        <w:rPr>
          <w:rFonts w:ascii="Times New Roman" w:cs="Times New Roman" w:eastAsia="Times New Roman" w:hAnsi="Times New Roman"/>
          <w:sz w:val="16"/>
          <w:szCs w:val="16"/>
          <w:color w:val="231F20"/>
        </w:rPr>
        <w:t>risks related to our relationship with Marriott.</w:t>
      </w:r>
    </w:p>
    <w:p>
      <w:pPr>
        <w:spacing w:after="0" w:line="18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rely on third-party payment processors to process payments made by guests, and if we cannot manage our relationships with such third parties and other payment-related risks, our business, results of operations, financial condition, and cash flows could be adversely affected.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rely on third-party payment processors to process payments made by guests. If any of our third-party payment processors terminates its relationship with us or refuses to renew its agreement with us on commercially reasonable terms, we would need to find alternate payment processors, and we may not be able to secure similar terms or replace such payment processors in an acceptable time frame. Furthermore, the software and services provided by our third-party payment processors may fail to meet our expectations, contain errors or vulnerabilities, be compromised or experience outages. Any of these risks could cause us to lose our ability to accept online payments or other payment transactions or make timely payments to landlords, any of which could adversely affect our ability to attract and retain guests or disrupt our operations.</w:t>
      </w:r>
    </w:p>
    <w:p>
      <w:pPr>
        <w:spacing w:after="0" w:line="18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Nearly all payments made to us by our guests are made by credit card, debit card or through a third-party payment service, which subjects us to certain regulations and to the risk of fraud. We may in the future offer new payment options to guests that may be subject to additional regulations and risks. We are also subject to a number of other laws and regulations relating to the payments we accept from our guests, including with respect to money laundering, money transfers, privacy, and information security, and these regulations may differ by locality and can be expected to change over time.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our data or information technology systems, or those of third parties with whom we work, are or were again compromised, we could experience, and have in the past experienced, adverse consequences including regulatory investigations or actions; litigation, including class claims; fines and penalties; disruptions of our business operations; reputational harm; loss of revenue or profits; loss of guest loyalty or sales; and other adverse consequences.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Cyber-attacks, malicious internet-based activity, online and offline fraud, and other similar activities threaten the confidentiality, integrity, and availability of our sensitive information and information technology systems, and those of the third parties upon which we rely. As we integrate our properties with Marriott’s platform and systems pursuant to the Marriott Agreement, the aforementioned third parties will include Marriott, and any third parties whose technologies, services or systems are incorporated into Marriott’s platform or systems or on which Marriott otherwise relies.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and the third parties with whom we work are subject to a variety of evolving threats, including but not limited to social engineering attacks (including through phishing and so-called deep fake attacks), malicious code (such as viruses and worms), malware (including as a result of advanced persistent threat intrusions), denial-of-service and credential stuffing attacks, credential harvesting, personnel misconduct or error, ransomware attacks, supply-chain attacks, software bugs, server malfunctions, software or hardware failures, adware, telecommunications failures, earthquakes, fires, floods, and other similar threats. We have experienced targeted and organized phishing and account takeover attacks and may experience more in the future. Severe ransomware attacks are becoming increasingly prevalent and can lead to significant interruptions in our operations and ability to provide services to our guests,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The foregoing risks are likely to increase as we expand our business, integrate our products and services with those of third parties or at new properties, and store and process more data, including personal data, and as the use of generative artificial intelligence may permit more automated and effective attacks. Our efforts to protect information from unauthorized access may be unsuccessful or may result in the rejection of legitimate attempts to book reservations, each of which could result in lost business and have a material adverse effect on our business, reputation, and results of operations.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231F20"/>
        </w:rPr>
        <w:t>Additionally, past or future business transactions (such as integrations of our systems and technologies with those of commercial partners, or any businesses we may acquire) could expose us to additional cybersecurity risks and vulnerabilities. Among other things, our systems could be negatively affected by vulnerabilities present in the third-party systems and technologies, or created by the integration. Furthermore, we may discover security issues that were not found during our analysis of any third-party business partner, and it may be difficult to integrate our information technology environment and security program with those of other companies.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We rely on third parties and third-party technologies to operate critical business systems to process sensitive data in a variety of contexts, including, without limitation, cloud-based infrastructure, data center facilities, employee email, content delivery to guests, and other functions. We also rely on third parties to provide other products, services, or technologies.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6"/>
          <w:szCs w:val="16"/>
          <w:color w:val="231F20"/>
        </w:rPr>
        <w:t>If the third parties with whom we work experience a security incident or other interruption, we could experience adverse consequences. While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we may be entitled to damages if those third parties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See the risk factor titled “</w:t>
      </w:r>
      <w:r>
        <w:rPr>
          <w:rFonts w:ascii="Times New Roman" w:cs="Times New Roman" w:eastAsia="Times New Roman" w:hAnsi="Times New Roman"/>
          <w:sz w:val="16"/>
          <w:szCs w:val="16"/>
          <w:i w:val="1"/>
          <w:iCs w:val="1"/>
          <w:color w:val="231F20"/>
        </w:rPr>
        <w:t>We rely on certain third-party</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technologies and services, and any failures of or defects in these technologies or any inability to obtain or integrate third-party technologies could harm our business</w:t>
      </w:r>
      <w:r>
        <w:rPr>
          <w:rFonts w:ascii="Times New Roman" w:cs="Times New Roman" w:eastAsia="Times New Roman" w:hAnsi="Times New Roman"/>
          <w:sz w:val="16"/>
          <w:szCs w:val="16"/>
          <w:color w:val="231F20"/>
        </w:rPr>
        <w:t>” for</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further information concerning certain risks inherent to our reliance on third parties.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existing security measures may not be successful in preventing security breaches and other incidents. For example, in November 2022, we received an email from an unknown threat actor alleging to have accessed certain sensitive data. We immediately commenced an investigation and discovered that a single account in one of our cloud-hosted accounts containing information regarding certain guests, including name, address, email address, phone number, date of birth, government-issued photo identification, last four digits of credit card number, username, guest transaction receipts, IP address, and/or dates booked for past stays at Sonder properties, had been subject to unauthorized access. Upon discovery, we took immediate steps to address the incident, including disabling the threat actor’s access to the single cloud-hosted account at issue, engaging outside counsel and forensic specialists to help determine the nature and scope of the incident, and notifying law enforcement, and we have notified affected consumers and regulators in accordance with applicable law. In addition, sensitive information about our company or guests could be leaked, disclosed, or revealed as a result of or in connection with the use of generative artificial intelligence technologies by our vendors, contractors, or employees. Additionally, while we take steps designed to detect, mitigate and remediate vulnerabilities in our information systems, we may not be able to detect and remediate all vulnerabilities on a timely basis or at all, in part because the threats and techniques used to exploit the vulnerability change frequently and are often sophisticated in nature. Therefore, such vulnerabilities could be exploited but may not be detected until after a security incident has occurred. These vulnerabilities may pose material risks to our business, including the risk that they result in material weaknesses in our internal controls over financial reporting. We may experience or identify additional information security vulnerabilities. Further, we may experience delays in developing and deploying remedial measures designed to address any such identified vulnerabilities.</w:t>
      </w:r>
    </w:p>
    <w:p>
      <w:pPr>
        <w:spacing w:after="0" w:line="1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Security incidents, including the aforementioned, whether actual or perceived, experienced by us or third parties on whom we rely may result in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voluntary or mandatory notifications of guests, regulators, and other relevant stakeholders; the provision of credit monitoring and identity theft protection services or other potentially costly actions; lost revenues or other financial loss; and other similar harms. For example, in August 2023, a purported class action lawsuit was filed against the Company in connection with the November 2022 security incident described above, asserting claims based on the Company’s alleged failure to secure and safeguard the personally identifiable information of the putative class, which was subsequently dismissed. Security incidents and attendant consequences may cause guests to stop using our services, deter new guests from using our services, and negatively impact our ability to grow and operate our business, including by damaging our reputation. We incur costs in an effort to detect and prevent security breaches and other security-related incidents and we expect our costs will increase as we make improvements to our systems and processes designed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be required or otherwise find it appropriate to expend significant capital and other resources to respond to, notify third parties of, and otherwise address the incident or breach and its root cause. These issues are likely to become more difficult to manage as we expand the number of jurisdictions where we operate and the number and variety of services we offer, as we integrate our systems and technologies with those of additional third parties, and as the tools and techniques used in such attacks become more advanced. Our insurance policies have coverage limits and deductibles and such insurance coverage may not be adequate to protect us from or mitigate liabilities and losses caused by security breaches or incidents or otherwise related to our data privacy and security obligations, and we cannot be sure that such coverage will pay future claims or will continue to be available on commercially reasonable terms or at all.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System capacity constraints or system or operational failures could materially adversely affect our business, results of operations, financial condition, and cash flows.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Since our founding, we have experienced rapid growth in consumer traffic to our website and usage of our app, and our portfolio of properties has grown and diversified. If our technologies, systems, and network infrastructure cannot be expanded or are not scaled to cope with increased demand or fail to perform, we could experience unanticipated disruptions in bookings and guest service, slower response times, decreased guest satisfaction, and delays in launching new properties and markets.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event of certain system failures, we may not have back-up systems, or may be unable to switch to back-up systems immediately, and the time to full recovery could be prolonged. We have experienced system failures from time to time, including failures of important guest-facing systems such as keyless entry systems at guest properties. In addition to placing increased burdens on our engineering staff, these outages can create a significant number of guest issues and complaints that need to be resolved by our guest services team. Any unscheduled interruption in our service could result in an immediate and significant loss of revenue, an increase in guest support costs (including refunds and reimbursements), and harm our reputation, and could result in some consumers switching to competitors or making claims against us. If we experience frequent or persistent system failures, our brand and reputation could be permanently and significantly harmed, and our business, results of operations, financial condition, and cash flows could be materially adversely affected. Our ongoing efforts to increase the reliability of our systems will be expensive and may not be completely effective in reducing the frequency or duration of unscheduled downtime or in system errors affecting guest experience or our operations. We do not carry business interruption insurance sufficient to compensate us for all losses that may occur.</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use both internally developed systems and third-party systems to operate our mobile app, website and other critical infrastructure, including transaction and payment processing, and financial and accounting systems, and certain technology-enabled features at guest properties. We cannot guarantee the reliability or availability of third-party systems. If the number of consumers using our website increases substantially, or if critical internally developed or third-party systems stop operating as designed, we may need to significantly upgrade, expand, or repair our systems and other infrastructure. We may not be able to upgrade our systems and infrastructure to accommodate such conditions in a timely manner, and our systems could be impacted for a meaningful period of time, which could materially adversely affect our business, results of operations, financial condition, and cash flows. The software underlying our services is highly complex and may contain undetected errors or vulnerabilities, some of which may only be discovered after the code has been released. Any errors or vulnerabilities discovered in our code after release could result in damage to our reputation, loss of guests, disruption to our sales channels, loss of revenue, or liability for damages, any of which could adversely affect our growth prospects and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Disruptions in Internet access or guests’ usage of their mobile devices could harm our business.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business depends on the performance and reliability of the Internet, telecommunications network operators, and other infrastructures that are not under our control. Our revenue and guest experience are also heavily dependent on consumers’ ability to interact with our mobile app and guest services functions using their mobile devices. Accordingly, we depend on consumers’ access to the Internet through mobile carriers and their systems and on centralized and property-level systems’ Internet access, which has been in the past and may be in the future subject to outages and other disruptions. Disruptions in Internet access, whether generally, in a specific region or otherwise, could materially adversely affect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Supply chain interruptions may increase our costs or reduce our revenues.</w:t>
      </w: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depend on good vendor relationships and the effectiveness of our supply chain management systems to ensure reliable and sufficient supply, on reasonably favorable terms, of materials used in our renovation, building openings and operating activities, such as furniture, linens, unit decor and appliances, lighting, security equipment and consumables. The materials we purchase and use in the ordinary course of our business are sourced from a wide variety of suppliers around the world, including Vietnam, China, India, and the United States. Disruptions in the supply chain (including those that resulted from the COVID-19 pandemic and may result from other public health crises), weather-related events, natural disasters, trade restrictions, tariffs, cyber-attacks, increases in interest rates, inflationary pressures, border controls, acts of war, terrorist attacks, third-party strikes, work stoppages or slowdowns, shipping capacity constraints, supply or shipping interruptions or other factors beyond our control. In the event of disruptions in our existing supply chain, the labor and materials we rely on in the ordinary course of our business may not be available at reasonable rates or at all. In some cases, we may rely on a single source for procurement of furniture or other supplies in a given region. Our supply chain also depends on third-party warehouses and logistics providers, including a central distribution center in Texas and smaller warehouses in other markets. Any disruption in the supply, storage, or delivery of materials to our leased properties could disrupt operations at our existing locations or significantly delay our opening of a new location, which may cause harm to our reputation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liability claims and our insurance may be inadequate to wholly cover our losses.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subject to various types of claims and liabilities in the operation of our business. Despite the procedures, systems, and internal controls we have implemented to avoid or mitigate risks, we have experienced and may experience additional claims and incur liabilities, whether through a weakness in these procedures, systems and internal controls, or because of negligence or the willful act of an employee, contractor, guest or other third-party. Our insurance policies may be inadequate to wholly cover the potentially significant losses that may result from claims arising from incidents related to our units or leased properties, guest or employee acts or omissions, disruptions in our service, including those caused by cybersecurity incidents, failures or disruptions to our infrastructure, catastrophic events, and disasters or otherwise. In addition, such insurance may not be available to us in the future on economically reasonable terms, or at all. Further, the insurance may not cover all claims made against us and may not cover potentially significant attorneys’ fees, and defending a suit, regardless of its merit, could be costly and divert management’s attention.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the risks of earthquakes, fire, floods, geopolitical conflicts, and other catastrophic events.</w:t>
      </w:r>
    </w:p>
    <w:p>
      <w:pPr>
        <w:spacing w:after="0" w:line="2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 significant natural disaster could materially adversely affect our business, results of operations, financial condition, cash flows, and prospects. In addition, climate change could result in an increase in the frequency or severity of natural disasters and cause performance problems with our technology infrastructure.</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Although we maintain incident management and disaster response plans, in the event of a major disruption caused by a natural disaster or man-made problem, or outbreak of pandemic diseases or other public health crises, we may be unable to continue our operations and may experience system interruptions and reputational harm. Acts of terrorism and other geopolitical unrest or armed conflict could also cause disruptions in our business or the business of our landlords, vendors or other business partners, or the economy as a whole. All of the aforementioned risks may be further increased if our disaster recovery plans prove to be inadequate.</w:t>
      </w:r>
    </w:p>
    <w:p>
      <w:pPr>
        <w:spacing w:after="0" w:line="1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business, operations, growth, and financial results had been adversely impacted by the effects of the COVID-19 pandemic and may be adversely impacted by COVID-19 or another pandemic, epidemic or infectious disease outbreak in the future.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COVID-19 pandemic and related governmental and business responses had, and a resurgence of COVID-19 or another public health crisis may again have, an adverse effect on our customers, employees, landlords and other potential business partners, and our operations. For example, public health concerns arising out of the COVID-19 pandemic and efforts to mitigate its spread caused severe economic disruptions around the world as governments, public institutions and other organizations imposed or recommended, at various times and degrees, restrictions on a wide array of activities, including travel and in-person gatherings, as well as mandatory vaccination requirements, and quarantines and lock-downs. The COVID-19 pandemic drastically reduced demand for accommodations and necessitated more restrictive approaches to guest services, and required us to take drastic steps to reduce operating costs, including phasing units from our portfolio and laying off or furloughing employees. Similar actions that may be taken in response to any resurgence of COVID-19 or any future public health crisis may negatively our hospitality operations and guest satisfaction, damage our revenues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reputation, disrupt our operations, and lead to costly or disruptive disputes, impact our ability to attract and retain employees, result in reductions in our Live Unit and/or leased unit portfolio, and reduce our ability to realize revenue.</w:t>
      </w:r>
    </w:p>
    <w:p>
      <w:pPr>
        <w:spacing w:after="0" w:line="16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extent to which a public health crisis could again impact us will depend on numerous evolving factors and future developments that are uncertain and that we are not able to predict at this time, including: the timing, extent, trajectory and duration of the pandemic or other health crisis; the emergence of new viral variants; the development, availability, distribution and effectiveness of vaccines and treatments; the imposition of protective public safety measures; and the impact of the pandemic or other crisis on the global economy and demand for our products and services. We could again experience adverse impacts to our business as a result of any economic recession that may occur from a resurgence of COVID-19 or other global pandemics.</w:t>
      </w:r>
    </w:p>
    <w:p>
      <w:pPr>
        <w:spacing w:after="0" w:line="18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technology contains third-party open-source software components, and failure to comply with the terms of the underlying open source software licenses could restrict our ability to operate as intended or could increase our costs.</w:t>
      </w:r>
    </w:p>
    <w:p>
      <w:pPr>
        <w:spacing w:after="0" w:line="16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Our technology contains software modules licensed to us by third-party authors under “open source” licenses. Use and distribution of open-source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spacing w:after="0" w:line="38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Some open-source licenses contain requirements that we make available source code for modifications or derivative works we create based upon the type of open source software we use, or grant other licenses to our intellectual property. If we combine our proprietary software with open-source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Although we monitor our use of open-source software to avoid subjecting our technology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technology. From time to time, there have been claims challenging the ownership of open-source software against companies that incorporate open source software into their solutions. As a result, we could be subject to lawsuits by parties claiming ownership of what we believe to be open-source software. Moreover, we cannot assure you that our processes for controlling our use of open-source software in our technology will be effective.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may not be economically feasible, re-engineer our technology, discontinue or delay the provision of our offerings if re-engineering could not be accomplished on a timely basis or make generally available, in source code form, our proprietary code, any of which could adversely affect our business, results of operations, financial condition, and cash flows.</w:t>
      </w:r>
    </w:p>
    <w:p>
      <w:pPr>
        <w:spacing w:after="0" w:line="18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protect our brand and other intellectual property, and we have been and may be subject to legal proceedings and claims relating to intellectual property rights.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intellectual property is important to our success. We rely on a combination of trademark, copyright, and trade secret laws, employee, and third-party non-disclosure and/or invention assignment agreements and other methods to protect our intellectual property. However, these only afford limited protection, and unauthorized parties may attempt to copy aspects of our services, technology, mobile app, algorithms, or other features and functionality, or to use information that we consider proprietary or confidential. There can be no assurance that any of our intellectual property will be protectable by patents, but if it is, any efforts to obtain patent protection that are not successful may harm our business in that others will be able to use our technologies. In addition, the laws of some foreign countries do not protect proprietary rights to the same extent as do the laws of the United States. There can be no assurance that the steps taken by us to protect our proprietary rights will be adequate or that third parties will not infringe or misappropriate our trademarks, copyrights, and similar proprietary rights. We endeavor to defend our intellectual property rights diligently, but intellectual property litigation is expensive and time-consuming, and may divert managerial attention and resources from our business objectives. We may not be able to successfully defend our intellectual property rights, which could have a material adverse effect on our business, brand,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From time to time, in the ordinary course of business, we have been and may be subject to legal proceedings and claims relating to the intellectual property rights of others, and we expect that third parties will continue to assert intellectual property claims, in particular trademark claims, against us, particularly as we expand the complexity and scope of our business. Successful claims against us could result in a significant monetary liability or prevent us from operating our business, or portions of our business. In addition, resolution of claims may require us to obtain licenses to use intellectual property rights belonging to third parties, which may be expensive to procure, or to cease using those rights altogether. Any of these events could have a material adverse effect on our business, results of operations, financial condition,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expend resources relating to the preparation and repair of our leased properties, which may be higher than anticipated.</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typically devote resources to prepare a newly leased property for its initial guests, referred to as building openings, and to keep our leased properties in a safe and attractive condition. Although we endeavor to have the landlord or developer bear the out-of-pocket opening costs, we are sometimes responsible for all or a portion of these costs. Even where landlords and developers are contractually responsible for some costs, they have in the past and may in the future dispute or fail to comply with their obligations. In addition, while the majority of our leases require landlords to bear responsibility for the repair and maintenance of building structures and systems, at times we are responsible for some of these obligations, and in most cases, we are responsible for the repair and maintenance of damage caused by our guests. Our leases may also require that we return the space to the landlord at the end of the lease term in essentially the same condition it was delivered to us, which may require repair work. The costs associated with our building openings, repair and maintenance may be significant and may vary from our forecasts.</w:t>
      </w:r>
    </w:p>
    <w:p>
      <w:pPr>
        <w:spacing w:after="0" w:line="1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also periodically refurbish some of our units to keep pace with the changing needs of our guests and to maintain our brand and reputation. Although we include estimated refurbishments in our business and financial planning, refurbishments can result in lost revenues at the affected unit, may be more costly and time-consuming than we expect, may impair guests’ experiences in other units, and may otherwise adversely affect our results of operations,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properties are concentrated in a limited number of cities, which increases our exposure to local factors affecting demand or hospitality operations.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operations are relatively concentrated in a limited number of cities, and we expect that the majority of our operations will continue to be concentrated in a limited number of cities. As of December 31, 2023, our five largest cities (New York City, Mexico City, Dubai, Los Angeles, and Philadelphia) accounted for approximately 35.4% of our Live Units, and our 10 largest cities accounted for approximately 56.8% of our Live Units. Geographic concentration magnifies the risk to us of localized economic, political, public health and other conditions such as natural disasters. Civil unrest, public health crises, unusual weather, natural disasters, or other factors affecting travel to these cities or other markets in which we are expanding, as well as changes in local competitive conditions and regulations affecting the hospitality industry, may have a disproportionate negative effect on our revenue and on our ability to secure sufficient staffing, supplies or services for our largest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fluctuations in currency exchange rates.</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Since we conduct a portion of our business outside the United States but report our results in U.S. dollars, we face exposure to adverse movements in currency exchange rates, which may cause our revenue and operating results to differ materially from expectations. In addition, fluctuation in our mix of U.S. and foreign currency denominated transactions may contribute to this effect as exchange rates vary. Moreover, as a result of these exchange rate fluctuations, revenue, cost of revenue, operating expenses and other operating results may differ materially from expectations when translated from the local currency into U.S. dollars upon consolidation. For example, if the U.S. dollar strengthens relative to foreign currencies our non-U.S. revenue would be adversely affected when translated into U.S. dollars. Conversely, a decline in the U.S. dollar relative to foreign currencies would increase our non-U.S. revenue when translated into U.S. dollars. As exchange rates vary, revenue, cost of revenue, operating expenses, and other operating results, when translated, may differ materially from expectations. In addition, our revenue and operating results are subject to fluctuation if our mix of U.S. and foreign currency denominated transactions and expenses changes in the future. We do not currently have hedging arrangements to manage foreign currency exposure. If we do enter into such arrangements in the future, such activity may not completely eliminate fluctuations in our operating results.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focus on rapid innovation, expansion and growth, over short-term financial results.</w:t>
      </w:r>
    </w:p>
    <w:p>
      <w:pPr>
        <w:spacing w:after="0" w:line="2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Despite our Cash Flow Positive Plan announced in June 2022 and our portfolio optimization program, which focus on achieving sustainable positive Free Cash Flow, we may decide to emphasize investments in innovation and growth over short-term financial results. We have taken actions in the past and may continue to make decisions that have the effect of reducing our short-term revenue or profitability if we believe that the decisions will benefit long-term revenue and profitability through enhanced guest experiences, penetration of new markets, greater familiarity with the Sonder brand, or otherwise. The short-term reductions in revenue or profitability could be more severe than anticipated. These decisions may not produce the expected long-term benefits, in which case our growth, guest experience, relationships with developers and landlords, and business and results of operations could be harmed.</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introduce new or upgraded amenities, services or features that guests recognize as valuable, we may fail to attract guests, property developers and landlords. Our efforts to develop new and upgraded services and amenities could require us to incur significant costs.</w:t>
      </w:r>
    </w:p>
    <w:p>
      <w:pPr>
        <w:spacing w:after="0" w:line="16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order to continue to attract new guests and generate repeat bookings from previous guests, and to attract property developers and landlords, we will need to continue to invest in the development of new amenities, services and features that add value to the Sonder brand and/or differentiate us from our competitors. The success of any new amenity, service or feature depends on several factors, including its timely completion, strategic introduction, and market acceptance, all of which remain subject to various uncertainties. If guests, property developers and landlords do not recognize the value of the new amenities, services, or features, they may choose not to engage with us.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Developing and delivering these new or upgraded amenities, services and features is costly and involves inherent risks and difficulties. Consumer preferences for interior design and furnishings and technology-related services are subject to frequent change. Technology development efforts may be unsuccessful, and any new features or services offered to guests through our website or app may be difficult to manage or maintain. We cannot guarantee that such efforts will succeed or that new or upgraded amenities, services and features will work as intended or provide their expected value. In addition, some new or upgraded amenities, services and features may be difficult for us to continue to market, may require additional regulatory permits and personnel, may subject us to additional liabilities, and may involve unfavorable pricing or fees. Further, the efforts required to develop, integrate, launch, and maintain new amenities, services, and features could divert resources away from other projects and initiatives. Even if we succeed in introducing new or upgraded amenities, services and features, we cannot guarantee that our guests or landlords will respond favorably to them, or that they will result in a positive return on investment.</w:t>
      </w:r>
    </w:p>
    <w:p>
      <w:pPr>
        <w:spacing w:after="0" w:line="19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addition to developing our own amenities, features and services, we have and may continue to license or otherwise integrate applications, technologies, systems, content and data from third parties. These third-party applications, technologies and systems may not support our offerings as intended, may cause unanticipated disruptions in guests’ bookings, in-room experience, or our other business operations, and may not remain available on commercially reasonable terms, or at all. If we partner with companies to offer food delivery, parking or other services through our app, these third-party services may be difficult to integrate with our other product offering, may not comply with guest security and privacy measures or otherwise operate as we intended, could give rise to guest complaints, and could damage our brand and reputation.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effective tax rate could harm our future operating results.</w:t>
      </w:r>
    </w:p>
    <w:p>
      <w:pPr>
        <w:spacing w:after="0" w:line="23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are subject to federal and state income taxes in the United States and in various international jurisdictions. Our provision for income taxes and our effective tax rate are subject to volatility and could be adversely affected by several factors, including:</w:t>
      </w:r>
    </w:p>
    <w:p>
      <w:pPr>
        <w:spacing w:after="0" w:line="166" w:lineRule="exact"/>
        <w:rPr>
          <w:sz w:val="20"/>
          <w:szCs w:val="20"/>
          <w:color w:val="auto"/>
        </w:rPr>
      </w:pPr>
    </w:p>
    <w:p>
      <w:pPr>
        <w:ind w:left="580" w:hanging="288"/>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being lower than anticipated in countries that have lower tax rates and higher than anticipated in countries that have higher tax rates;</w:t>
      </w:r>
    </w:p>
    <w:p>
      <w:pPr>
        <w:spacing w:after="0" w:line="27"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certain non-tax-deductible expenses, including those arising from the requirement to expense stock options;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valuation of our deferred tax assets and liabilities;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outcomes resulting from any tax audit, including transfer pricing adjustments with respect to intercompany transactions;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utilize our net operating losses, research and development credits, and other deferred tax assets; and</w:t>
      </w:r>
    </w:p>
    <w:p>
      <w:pPr>
        <w:spacing w:after="0" w:line="11" w:lineRule="exact"/>
        <w:rPr>
          <w:rFonts w:ascii="Times New Roman" w:cs="Times New Roman" w:eastAsia="Times New Roman" w:hAnsi="Times New Roman"/>
          <w:sz w:val="16"/>
          <w:szCs w:val="16"/>
          <w:color w:val="auto"/>
        </w:rPr>
      </w:pPr>
    </w:p>
    <w:p>
      <w:pPr>
        <w:ind w:left="580" w:hanging="288"/>
        <w:spacing w:after="0" w:line="271" w:lineRule="auto"/>
        <w:tabs>
          <w:tab w:leader="none" w:pos="57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or changes in tax laws and regulations, or the application of the tax laws and regulations, including possible U.S. changes to the deductibility of expenses attributable to foreign income or the foreign tax credit rules.</w:t>
      </w:r>
    </w:p>
    <w:p>
      <w:pPr>
        <w:spacing w:after="0" w:line="17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corporate structure and intercompany arrangements cause us to be subject to the tax laws of various jurisdictions, and we could be obligated to pay additional taxes, which could materially adversely affect our business, results of operations, financial condition, cash flows, and prospects.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expanding our international operations and personnel to support our business in international markets. We generally conduct our international operations through wholly owned subsidiaries and are or may be required to report our taxable income in various jurisdictions worldwide based upon our business operations in those jurisdictions. Our intercompany relationships are subject to complex transfer pricing regulations administered by tax authorities in various jurisdictions. The amount of taxes we pay in different jurisdictions may depend on the application of the tax laws of such jurisdictions, including the United States, to our international business activities, changes in tax rates, new or revised tax laws, interpretations of existing tax laws and policies, and our ability to operate our business in a manner consistent with our corporate structure and intercompany arrangements. The relevant tax authorities have in the past disagreed and may in the future disagree with our determinations as to the income and expenses attributable to specific jurisdictions. If additional disagreements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3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If existing tax laws, rules or regulations are amended, or if new unfavorable tax laws, rules or regulations are enacted, including with respect to occupancy, sales, value-added taxes, withholding taxes, revenue-based taxes, unclaimed property, or other tax laws applicable to the multinational businesses, the results of these changes could increase our tax liabilities. Possible outcomes include double taxation, multiple levels of taxation, or additional obligations, prospectively or retrospectively, including the potential imposition of interest and penalties. Demand for our products and services could decrease if such costs are passed on to our guests, result in increased costs to update or expand our technical or administrative infrastructure or effectively limit the scope of our business activities should we decide not to conduct business in particular jurisdictions.</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substantial liabilities if it is determined that we should have collected, or in the future should collect, additional sales and use, value added or similar taxes.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currently collect and remit applicable sales taxes and other applicable transaction taxes in jurisdictions where we, through our employees or economic activity, have a presence and where we have determined, based on applicable legal precedents, that sales of travel accommodations are classified as taxable. We do not currently collect and remit state and local excise, utility user, or transfer taxes, fees, or surcharges in jurisdictions where we believe we do not have sufficient “nexus.” There is uncertainty as to what constitutes sufficient nexus for a state or local jurisdiction to levy taxes, fees, and surcharges on sales made over the Internet, and there is also uncertainty as to whether our characterization of our traveler accommodations in certain jurisdictions will be accepted by state and local tax authorities.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application of indirect taxes, such as sales and use, value added, goods and services, business, and gross receipts taxes, to businesses that transact online, such as ours, is a complex and evolving area. Where we sell our services through OTAs, we do not directly control how taxes are collected or remitted. There are substantial ongoing costs associated with complying with the various indirect tax requirements in the numerous markets in which we conduct or may conduct business, and resource and local personnel constraints can make it difficult for us to collect local taxes due from guests accurately, which could result in unanticipated additional tax liabilities. If an OTA does not collect such taxes from travelers, we could be held liable for such obligations. The application of existing or future indirect tax laws, whether in the United States or internationally, or the failure to collect and remit such taxes, could materially adversely affect our business, results of operations, financial condition, cash flows, and prospects.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comply with anti-bribery, anti-corruption laws and similar laws, could subject us to penalties and other adverse consequences.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are subject to the U.S. Foreign Corrupt Practices Act of 1977, as amended, commonly referred to as the FCPA, the U.S. Travel Act, the United Kingdom Bribery Act 2010, and possibly other anti-bribery and anti-corruption laws in countries outside of the United States in which we conduct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sometimes the private sector.</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sometimes engage third parties to conduct our business abroad. We and our employees, agents, representatives, business partners and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guarantee that all of our employees and agents will not take actions in violation of applicable law, for which we may be ultimately held responsible. As we increase our international sales and business, the risks under these laws may increase.</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These laws also require that we keep accurate books and records and maintain internal controls and compliance procedures designed to prevent any such actions. While we have policies and procedures to address compliance with such laws, we cannot guarantee that none of our employees, agents, representatives, business partners or third-party intermediaries will take actions in violation of Company policies and applicable law, for which we may be ultimately held responsible.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Any allegations of or actual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3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governmental export and import controls and economic sanctions programs that could impair our ability to compete in international markets or subject us to liability if we violate these controls.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many cases, our business activities are subject to U.S. and international import and export control laws and regulations including trade and economic sanctions maintained by the Office of Foreign Assets Control, or OFAC. For example, restrictions may exist on our ability to provide services to persons located in certain U.S. embargoed or sanctioned countries or listed on certain lists of sanctioned persons. U.S. and other international authorities recently imposed, and may further impose, sanctions related to the 2022 Russian invasion of Ukraine. Additionally, the import of furniture used in various properties must be conducted in accordance with applicable import laws and regulations. While we have policies and procedures in place designed to ensure compliance with sanctions and trade restrictions and other applicable laws, our employees, contractors, partners, and agents may take actions in violation of such policies and applicable law, for which we may be ultimately held responsible. If we were to fail to comply with such import or export control laws and regulations, trade and economic sanctions, or other similar laws, we could be subject to both civil and criminal penalties, including substantial fines, possible incarceration for employees and managers for willful violations, damage to our reputation, and the possible loss of export or import privileges, any of which could have a material and adverse impact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Government Regulation</w:t>
      </w:r>
    </w:p>
    <w:p>
      <w:pPr>
        <w:spacing w:after="0" w:line="23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Unfavorable changes in, or interpretations or enforcement of, government regulations or taxation of the evolving short-term and long-term rental, Internet and e-commerce industries could harm our operating results.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We operate in markets throughout the world and are subject to various regulatory and taxation requirements of the jurisdictions in which we operate. Our regulatory compliance efforts are burdensome because each local jurisdiction has different requirements, including with respect to zoning, licensing, permitting, sanitation, accessibility, taxes, employment, labor and health and safety, and regulations in the industry are constantly evolving. Compliance requirements that vary significantly from jurisdiction to jurisdiction reduce our ability to achieve economies of scale, add compliance costs, and increase the potential liability for compliance deficiencies. Additionally, laws or regulations that increase our costs, require changes in our business practices, or otherwise harm our business could be adopted, or interpreted in a manner that affects our activities, including but not limited to the regulation of personal and consumer information, consumer advertising, labor laws, accessibility, health and safety, taxation, and real estate and hotel licensing and zoning requirements. Violations or new interpretations of these laws or regulations may result in penalties, disrupt our ability to operate existing properties or to develop new ones, negatively impact our guest relations or operations in other ways, increase our expenses, and damage our reputation and business. Even when we are in compliance with applicable laws, a suspected violation of these laws or regulations can temporarily disrupt our ability to operate existing properties, negatively impact our guest relations or operations in other ways, damage our reputation and business, and result in loss of revenues, even if the matter is ultimately resolved in our favor.</w:t>
      </w: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since we began operations, there have been, and continue to be, regulatory developments that affect our ability to offer units for specified durations or in certain neighborhoods. For example, some municipalities have adopted ordinances that limit our ability to offer certain properties to guests for fewer than a stated number of consecutive nights, such as 30 nights, or for more than an aggregate total number of nights per year, and other cities may introduce similar regulations, including after we have already leased properties and begun to offer stays to guests there. The regulation of short-term rentals and related government enforcement efforts have been increasing in scope and intensity in many cities, often due to governments’ concerns about affordable housing or over-tourism, or due to pressures from private groups such as neighborhood associations. Even where we operate in compliance with existing regulations, local groups or governments have occasionally argued that we should comply with additional or different requirements, and similar developments can be expected in the future. Any such developments could reduce our revenues by limiting our ability to open or continue operating at certain properties or in certain cities, damage our reputation with landlords and others, result in expensive and disruptive disputes or regulatory proceedings, or require burdensome changes to our operations. In addition, many of the fundamental statutes and regulations that impose taxes or other obligations on travel and hospitality companies were established before the growth of the Internet and e-commerce, which creates a risk of these laws being used in ways not originally intended that could harm our business. These and other similar new and newly interpreted regulations could increase our costs, require us to reduce or even cease operations in certain locations, reduce the diversity and number of units available for us to lease and offer to guests, and otherwise harm our business and operating results.</w:t>
      </w:r>
    </w:p>
    <w:p>
      <w:pPr>
        <w:spacing w:after="0" w:line="39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From time to time, we have been involved in and expect to continue to become involved in challenges to or disputes with government agencies regarding interpretations of laws and regulations. There can be no assurance that we will be successful in these challenges or disputes.</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New, changed, or newly interpreted or applied laws, statutes, rules, regulations or ordinances, including tax laws, could also increase landlords’ compliance, operating and other costs. This, in turn, could deter landlords from renting their properties to us, negatively affect lease renewals, impair landlords’ ability or willingness to repair and maintain leased properties, or increase costs of doing business. Any or all of these events could adversely impact our business and financial performance.</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Furthermore, as we expand or change our business and the services that we offer or the methods by which we offer them, we may become subject to additional legal regulations, tax requirements or other risks. Whether we comply with or challenge these additional regulations, our costs may increase, and our business could otherwise be harmed.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will continue to incur increased costs and demands upon management as a result of complying with the laws and regulations affecting public companies, which could adversely affect our business, results of operations, financial condition, and cash flows. In addition, key members of our management team have limited experience managing a public company.</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a public company, we incur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of 2002, or the Sarbanes-Oxley Act, the Dodd-Frank Wall Street Reform and Consumer Protection Act of 2010, or the Dodd-Frank Act, the rules and regulations of the SEC, and the listing standards of Nasdaq. Our management and other personnel devote a substantial amount of time to compliance with these requirements and we expect these rules and regulations to substantially increase our legal and financial compliance costs. For example, these rules and regulations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we will need to hire additional accounting and financial staff with appropriate public company experience and technical accounting knowledge. In addition, as a public company, we may be subject to shareholder activism, which can lead to substantial costs, distract management, and impact the manner in which we operate our business in ways we cannot currently anticipate. As a result of disclosure of information in filings required of a public company, our business, results of operations, financial condition, and cash flows have become more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significant regulatory oversight and reporting obligations under the federal securities laws, and the continuous scrutiny of securities analysts and investors, associated with being a public company. These obligations and constituents require significant attention from our senior management and could divert their attention away from the day-to-day management of our business, which could adversely affect our business, results of operations, financial condition,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costs and other risks associated with complying with the Americans with Disabilities Act and similar legislation outside of the United States may be substantial.</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subject to the Americans with Disabilities Act, commonly referred to as the ADA, and similar laws and regulations in certain jurisdictions outside of the United States. These laws and regulations require public accommodations to meet certain requirements related to access and use by disabled people. Our landlords may not have designed, constructed, or operated their properties to comply fully with the ADA or similar laws, and our operations may not fully comply with such laws. Operators of hospitality websites, including ourselves, are also occasionally targeted by complaints that they have failed to make their sites and online reservation systems sufficiently accessible. We have been subject to minor claims by litigants regarding such website compliance in the past, and may encounter claims, governmental investigations, and potential enforcement actions in the future. We may be required to expend substantial resources to remedy any noncompliance at our leased properties or in our app or website, or to defend against complaints of noncompliance, even if they lack merit. If we fail to comply with the requirements of the ADA or similar laws, we could be subject to fines, penalties, injunctive action, costly legal proceedings, an award of damages to private litigants, mandated capital expenditures to remedy such noncompliance, reputational harm, and other business effects that could materially and adversely affect our brand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and the third parties with whom we work are subject to stringent and evolving U.S. and foreign laws, rules, contractual obligations, industry standards, policies, and other obligations relating to data privacy and security. Any actual or perceived failure to comply with such obligations has in the past and could in the future result in adverse consequences, including but not limited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the ordinary course of business, we collect, receive, store, process, generate, use, transfer, disclose, make accessible, protect, secure, dispose of, transmit, and share (collectively, “process”), a large volume of personal data and other sensitive information, including proprietary and confidential business data, trade secrets, intellectual property, sensitive third-party data, business plans, transactions, and financial information (collectively,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the United States, federal, state, and local governments have enacted numerous data privacy and security laws, including data breach notification laws, personal data privacy laws, consumer protection laws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Section 5 of the Federal Trade Commission Act), and other similar laws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wiretapping laws). In the past few years, numerous U.S. states—including California, Virginia, Colorado, Connecticut, and Utah—have enacted comprehensive privacy laws that impose certain obligations on covered businesses, including providing specific disclosures in privacy notices and giving residents certain rights concerning their personal data. Such rights may include the right to access, correct, or delete certain personal data, and to opt-out of certain data processing activities, such as targeted advertising, profiling, and automated decision-making. The exercise of these rights may adversely impact our business and ability to provide our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1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Outside the United States, an increasing number of laws, regulations, and industry standards govern data privacy and security, and our collection, processing and security of data may be subject to these laws, regulations, and industry standards. For example, the EU GDPR and the UK GDPR (collectively, “GDPR”) impose strict requirements for processing personal data. In Canada, the PIPEDA and various related provincial laws, as well as Canada’s Anti-Spam Legislation, may apply to our operations. Violation of PIPEDA can lead to a court action brought by individuals or by the Office of the Privacy Commissioner of Canada. In addition, under the GDPR, companies may face temporary or definitive bans on data processing and other corrective actions; fines of up to 20 million Euros,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Other jurisdictions may adopt similar data protection regulations.</w:t>
      </w:r>
    </w:p>
    <w:p>
      <w:pPr>
        <w:spacing w:after="0" w:line="18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if we fail to comply with the requirements for a legally-compliant transfer or such requirements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addition to data privacy and security laws, we are also bound by contractual obligations related to data privacy and security, and our efforts to comply with such obligations may not be successful. We also publish privacy policies, marketing materials and other statements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could be adversely affected if legislation or regulations are expanded to require changes in our business practices or if governing jurisdictions interpret or implement their legislation or regulations in ways that negatively affect our business, results of operations, financial condition, and cash flows. For example, federal, state, and international governmental authorities continue to evaluate the privacy implications inherent in the use of third-party “cookies” and other methods of online tracking for behavioral advertising and other purposes. The United States and foreign governments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Regulation of the use of these cookies and other online tracking and advertising practices, or a loss in our ability to make effective use of services that employ such technologies, could increase our costs of operations, and limit our ability to track trends, optimize our services, or acquire new guests on cost-effective terms and consequently, materially adversely affect our business, results of operations, financial condition, and cash flows. As a result, we may be required to change the way we market our accommodations and services.</w:t>
      </w:r>
    </w:p>
    <w:p>
      <w:pPr>
        <w:spacing w:after="0" w:line="20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Recently, these practices have been subject to increased challenges by class action plaintiffs, and our inability or failure to obtain consent for these practices could result in adverse consequences, including class action litigation and mass arbitration demands. Such a demand could allow for the recovery of statutory damages on a per violation basis, which could be significant depending on the volume of data and the number of violations.</w:t>
      </w:r>
    </w:p>
    <w:p>
      <w:pPr>
        <w:spacing w:after="0" w:line="18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Regulators and legislatures at the local, state, and national level are also taking an increased interest in regulating the collection and use of biometric data, which plays an important role in our trust and safety processes. Specifically, the third parties that provide the identity verification process for us may use facial geometry data to verify that a guest’s selfie picture matches the photograph on the government-issued identification provided by the guest, similar to a front desk worker at a traditional hotel visually comparing a guest’s government identification to the guest’s face. Legislation such as the EU GDPR and the Illinois Biometric Information Privacy Act (“BIPA”), as well as other U.S. and foreign laws and regulations, place tight regulation on the collection, use and sharing of biometric information, as well as requirements for notice and consent from individual data subjects. Violations of these laws may result in significant fines, damages, and other penalties. For example, BIPA provides for substantial penalties and statutory damages and has generated significant class action activity, and the cost of litigating and settling any claims that we have violated BIPA or similar laws could be significant. New laws and regulations regarding the collection, use, and sharing of biometric data have also recently been proposed or enacted in other states, and the eventual impact of those laws and regulations on Sonder’s operations remains uncertain. A failure, or alleged or perceived failure, by us to comply with these requirements could adversely affect our reputation, brand and business, and may result in claims, proceedings, or actions against us by governmental entities or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private litigants or require us to change our operations and/or our ability to ensure the safety of our guests, which could adversely affect our reputation or require us to make significant investments in new technologies or processes.</w:t>
      </w:r>
    </w:p>
    <w:p>
      <w:pPr>
        <w:spacing w:after="0" w:line="15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Additionally, 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We use AI and machine learning (“ML”) to assist us in making certain decisions, which is regulated by certain privacy laws. Due to inaccuracies or flaws in the inputs, outputs, or logic of AI or ML, the model could be biased and could lead us to make decisions that could bias certain individuals (or classes of individuals), and adversely impact their rights, employment, and ability to obtain certain pricing, products, services, or benefits.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Obligations related to data privacy and security (and consumers’ data privacy expectations) are quickly changing, becoming increasingly stringent, and creating uncertainty. Additionally, these obligations may be extremely complex, and subject to different and inconsistent applications and interpretations.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significant consequences, including (but not limited to) government enforcement actions (e.g., investigations, fines, penalties, audits, inspections, and similar); litigation (including class-action claims) and mass arbitration demands; additional reporting requirements and/or oversight; indemnification obligations; bans on processing personal data or credit cards; and orders to destroy or not use personal data. For example, in August 2023, a purported class action lawsuit was filed against the Company asserting claims based on the Company’s alleged failure to secure and safeguard the personally identifiable information of the putative class, which was subsequently dismissed. Additionally, plaintiffs have become increasingly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results of operations, financial condition, and cash flows, including but not limited to: loss of guests; inability to process personal data or to operate in certain jurisdictions; limited ability to develop or commercialize new features, amenities, or services; expenditure of time and resources to defend any claim or inquiry; adverse publicity; or substantial changes to our business model or operations.</w:t>
      </w:r>
    </w:p>
    <w:p>
      <w:pPr>
        <w:spacing w:after="0" w:line="19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consumer protection, marketing and advertising laws, including with regard to direct marketing and internet marketing practices, could result in fines or place restrictions on our business.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Our business is subject to various laws and regulations governing consumer protection, advertising, and marketing. We have encountered and may continue to encounter governmental and private party investigations and complaints in areas such as the clarity, transparency, accuracy, and presentation of information on our website or in third-party listings of our properties, as has occurred with respect to other hospitality booking sites. In addition, as we attempt to increase the proportion of stays booked directly through our website, our marketing activities will be subject to various laws and regulations in the U.S. and internationally that govern online and other direct marketing and advertising practices. For example, the Telephone Consumer Protection Act of 1991 (“TCPA”) imposes specific requirements on communications with customers and various consumer consent requirements and other restrictions on certain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Our marketing activities could be restricted, our guest relationships and revenues could be adversely affected, and our costs could increase, due to changes required in our marketing, listing, or booking practices, or any investigations, complaints, or other adverse developments related to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Industry-specific payment regulations and standards are evolving, and unfavorable industry-specific laws, regulations, interpretive positions or standards could harm our business.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payment processors expect attestation of compliance with the Payment Card Industry (“PCI”) Data Security Standards. If we are unable to comply with these guidelines or controls due to changes in business processes, supporting technology, or core technology, or if our third-party payment processors are unable to obtain regulatory approval to use our services where required, our business may be harmed. For example, failing to maintain our attestation of compliance for PCI could result in monthly fines or other adverse consequences until compliance is re-established via an external PCI qualified security assessor. Existing third parties or future business partnerships may opt out of processing payment card transactions if we are unable to achieve or maintain industry-specific certifications or other requirements or standards relevant to our guests, business partners, and other third parties.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Indebtedness and Liquidity</w:t>
      </w:r>
    </w:p>
    <w:p>
      <w:pPr>
        <w:spacing w:after="0" w:line="23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There is substantial doubt about the Company’s ability to continue as a going concern, and this may adversely affect our stock price, our ability to raise capital or enter into strategic transactions, and our relationships with key stakeholders.</w:t>
      </w:r>
    </w:p>
    <w:p>
      <w:pPr>
        <w:spacing w:after="0" w:line="16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 xml:space="preserve">In accordance with ASC Topic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Annual Report on Form 10-K.</w:t>
      </w:r>
    </w:p>
    <w:p>
      <w:pPr>
        <w:spacing w:after="0" w:line="17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 xml:space="preserve">As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to the consolidated financial statements included in this Annual Report on Form 10-K,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spacing w:after="0" w:line="17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 xml:space="preserve">While the 2024 actions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the Company’s management has concluded that there is substantial doubt, which is not alleviated, about the Company’s ability to continue as a going concern for at least one year from the date of issuance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address the substantial doubt about the Company's ability to continue as a going concern, as described above, the Company has embarked on the following actions:</w:t>
      </w:r>
    </w:p>
    <w:p>
      <w:pPr>
        <w:spacing w:after="0" w:line="232" w:lineRule="exact"/>
        <w:rPr>
          <w:sz w:val="20"/>
          <w:szCs w:val="20"/>
          <w:color w:val="auto"/>
        </w:rPr>
      </w:pPr>
    </w:p>
    <w:p>
      <w:pPr>
        <w:ind w:left="580" w:hanging="288"/>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engaged a financial advisor to assist in identifying and securing strategic alternatives and financing arrangements,</w:t>
      </w:r>
    </w:p>
    <w:p>
      <w:pPr>
        <w:spacing w:after="0" w:line="27" w:lineRule="exact"/>
        <w:rPr>
          <w:rFonts w:ascii="Times New Roman" w:cs="Times New Roman" w:eastAsia="Times New Roman" w:hAnsi="Times New Roman"/>
          <w:sz w:val="16"/>
          <w:szCs w:val="16"/>
          <w:color w:val="auto"/>
        </w:rPr>
      </w:pPr>
    </w:p>
    <w:p>
      <w:pPr>
        <w:jc w:val="both"/>
        <w:ind w:left="580" w:right="20" w:hanging="288"/>
        <w:spacing w:after="0" w:line="255"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free cash flow improvements of over $40 million of which the Company expects termination fees of less than $20 million associated with these agreements; Of the approximately 80 buildings, or 3,200 units, with finalized exit agreements, the Company has already exited approximately 60 buildings, or 2,300 units, as of June 10, 2024 and expects to exit the remaining buildings throughout the remainder of 2024,</w:t>
      </w:r>
    </w:p>
    <w:p>
      <w:pPr>
        <w:spacing w:after="0" w:line="2" w:lineRule="exact"/>
        <w:rPr>
          <w:rFonts w:ascii="Times New Roman" w:cs="Times New Roman" w:eastAsia="Times New Roman" w:hAnsi="Times New Roman"/>
          <w:sz w:val="16"/>
          <w:szCs w:val="16"/>
          <w:color w:val="auto"/>
        </w:rPr>
      </w:pPr>
    </w:p>
    <w:p>
      <w:pPr>
        <w:jc w:val="both"/>
        <w:ind w:left="580" w:right="20" w:hanging="288"/>
        <w:spacing w:after="0" w:line="263"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580" w:hanging="288"/>
        <w:spacing w:after="0" w:line="260" w:lineRule="auto"/>
        <w:tabs>
          <w:tab w:leader="none" w:pos="57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the Marriott Agreement which allows us to integrate our properties with Marriott’s systems, distribution channels, and branding, and, subject to meeting certain conditions, entitles the Company to receive $15 million of Key Money in two tranches by March 31, 2025; This agreement provides the opportunity for the Company to increase its financial performance through the potential to increase revenue by integrating with Marriott’s commercial engine, deliver costs savings through synergies and scale and power future growth,</w:t>
      </w:r>
    </w:p>
    <w:p>
      <w:pPr>
        <w:spacing w:after="0" w:line="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financing from the Company’s existing noteholders in the amount of $16 million during June and July 2024, as previously announced,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financing arrangements that provide the Company with access to approximately $139 million in additional liquidity, including</w:t>
      </w:r>
    </w:p>
    <w:p>
      <w:pPr>
        <w:spacing w:after="0" w:line="11" w:lineRule="exact"/>
        <w:rPr>
          <w:rFonts w:ascii="Times New Roman" w:cs="Times New Roman" w:eastAsia="Times New Roman" w:hAnsi="Times New Roman"/>
          <w:sz w:val="16"/>
          <w:szCs w:val="16"/>
          <w:color w:val="auto"/>
        </w:rPr>
      </w:pPr>
    </w:p>
    <w:p>
      <w:pPr>
        <w:jc w:val="both"/>
        <w:ind w:left="1180" w:hanging="300"/>
        <w:spacing w:after="0" w:line="255" w:lineRule="auto"/>
        <w:tabs>
          <w:tab w:leader="none" w:pos="117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issuing approximately $43 million in Series A Convertible Preferred Stock to certain qualified institutional buyers or accredited investors, of which $14.7 million was received in August 2024 and commitments have been received to purchase an additional $28.6 million, subject to certain milestones and customary closing conditions,</w:t>
      </w:r>
    </w:p>
    <w:p>
      <w:pPr>
        <w:spacing w:after="0" w:line="1" w:lineRule="exact"/>
        <w:rPr>
          <w:rFonts w:ascii="Times New Roman" w:cs="Times New Roman" w:eastAsia="Times New Roman" w:hAnsi="Times New Roman"/>
          <w:sz w:val="16"/>
          <w:szCs w:val="16"/>
          <w:color w:val="auto"/>
        </w:rPr>
      </w:pPr>
    </w:p>
    <w:p>
      <w:pPr>
        <w:jc w:val="both"/>
        <w:ind w:left="1180" w:hanging="300"/>
        <w:spacing w:after="0" w:line="271" w:lineRule="auto"/>
        <w:tabs>
          <w:tab w:leader="none" w:pos="1177"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spacing w:after="0" w:line="172"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sources of liquidity totaling $13 million.</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Company’s management has considered the mitigating impact of its substantial doubt remediation plan and has concluded that substantial doubt is not alleviated within the context of ASC Topic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There may be adverse impacts to the Company’s stock price, the Company’s ability to raise capital or enter into strategic transactions, or the Company’s relationship with its key stakeholders as a result of the uncertainty regarding our ability to continue as a going concern or the Company’s inability to successfully execute its substantial doubt mitigation plan. If we are unable to successfully execute our mitigation plan or obtain sufficient, timely financial resources, our business, results of operations, financial condition, and cash flows could be materially and adversely affected and we may be forced to terminate, significantly curtail or cease our operations or to pursue other strategic alternatives, including, but not limited to, commencing a case under the U.S. Bankruptcy Code.</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As a result of the potential Event of Default, the indebtedness related to our Delayed Draw Notes as of December 31, 2023 has been reclassified from long-term debt, net to current portion of long term-debt, net. These events could further limit our ability to obtain adequate or satisfactory financing when we require it.</w:t>
      </w:r>
    </w:p>
    <w:p>
      <w:pPr>
        <w:spacing w:after="0" w:line="17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capital to support business growth or respond to business challenges, and this capital might not be available in a timely manner or on favorable terms.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the need to develop or add new properties or services or enhance our existing properties or services, enhance our operating infrastructure, invest in the effort to integrate our properties with Marriott’s systems under the Marriott Agreement, add personnel, and acquire complementary businesses and technologies. Accordingly, we may need to engage in equity or debt financings to secure additional funds in the future.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could involve restrictive covenants relating to financial and operational matters, which may make it more difficult for us to obtain additional capital and to pursue business opportunities, including potential acquisitions or strategic partnerships. The existence of our Series A Convertible Preferred Stock initially issued in August 2024 (the “Preferred Stock”) may also make it more difficult for us to raise capital in the future, because the purchasers of the Preferred Stock collectively have a right to purchase up to 25% of any equity offering before August 2029 at a 25% discount and specified rights to consent to certain future securities issuances. In addition, the closing of the second tranche of 28.6 million additional shares of Preferred Stock is subject to conditions, including the absence of certain Nasdaq suspension or delisting events as described below in the section entitled “Risks Related to Ownership of Our Securities,”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and we cannot provide any assurance that such closing will occur when we currently anticipate or at all. If we are unable to obtain adequate or satisfactory financing when we require it, our ability to continue to support our business growth and to respond to business challenges could be significantly limited.</w:t>
      </w:r>
    </w:p>
    <w:p>
      <w:pPr>
        <w:spacing w:after="0" w:line="166"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As a result of the potential Event of Default, the indebtedness related to our Delayed Draw Notes as of December 31, 2023 has been reclassified from long-term debt, net to current portion of long term-debt, net. These events could further limit our ability to obtain adequate or satisfactory financing when we require it.</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Our indebtedness could adversely affect our business and financial condition.</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 xml:space="preserve">We had indebtedness related to our Delayed Draw Notes (as defined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to our consolidated financial statements included in this Annual Report on Form 10-</w:t>
      </w:r>
    </w:p>
    <w:p>
      <w:pPr>
        <w:spacing w:after="0" w:line="29" w:lineRule="exact"/>
        <w:rPr>
          <w:sz w:val="20"/>
          <w:szCs w:val="20"/>
          <w:color w:val="auto"/>
        </w:rPr>
      </w:pPr>
    </w:p>
    <w:p>
      <w:pPr>
        <w:ind w:left="2" w:hanging="2"/>
        <w:spacing w:after="0" w:line="271" w:lineRule="auto"/>
        <w:tabs>
          <w:tab w:leader="none" w:pos="22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aggregate principal amount of $203.9 million as of June 30, 2024 ($180.2 million as of December 31, 2023), including capitalized paid-in-kind interest, secured against substantially all of our assets. Risks relating to our indebtedness include:</w:t>
      </w:r>
    </w:p>
    <w:p>
      <w:pPr>
        <w:spacing w:after="0" w:line="107" w:lineRule="exact"/>
        <w:rPr>
          <w:rFonts w:ascii="Times New Roman" w:cs="Times New Roman" w:eastAsia="Times New Roman" w:hAnsi="Times New Roman"/>
          <w:sz w:val="16"/>
          <w:szCs w:val="16"/>
          <w:color w:val="auto"/>
        </w:rPr>
      </w:pPr>
    </w:p>
    <w:p>
      <w:pPr>
        <w:ind w:left="582" w:hanging="288"/>
        <w:spacing w:after="0"/>
        <w:tabs>
          <w:tab w:leader="none" w:pos="582"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general adverse economic and industry conditions;</w:t>
      </w:r>
    </w:p>
    <w:p>
      <w:pPr>
        <w:spacing w:after="0" w:line="27" w:lineRule="exact"/>
        <w:rPr>
          <w:rFonts w:ascii="Times New Roman" w:cs="Times New Roman" w:eastAsia="Times New Roman" w:hAnsi="Times New Roman"/>
          <w:sz w:val="16"/>
          <w:szCs w:val="16"/>
          <w:color w:val="auto"/>
        </w:rPr>
      </w:pPr>
    </w:p>
    <w:p>
      <w:pPr>
        <w:ind w:left="582" w:hanging="288"/>
        <w:spacing w:after="0" w:line="255" w:lineRule="auto"/>
        <w:tabs>
          <w:tab w:leader="none" w:pos="578"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dedicate a portion of our cash flow to principal and interest payments on our indebtedness, thereby reducing the availability of cash flow to fund working capital, location acquisition costs, capital expenditures, acquisitions and investments and other general corporate purposes;</w:t>
      </w:r>
    </w:p>
    <w:p>
      <w:pPr>
        <w:ind w:left="582" w:hanging="288"/>
        <w:spacing w:after="0"/>
        <w:tabs>
          <w:tab w:leader="none" w:pos="582"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more difficult for us to optimally capitalize and manage the cash flow for our businesses;</w:t>
      </w:r>
    </w:p>
    <w:p>
      <w:pPr>
        <w:spacing w:after="0" w:line="11" w:lineRule="exact"/>
        <w:rPr>
          <w:rFonts w:ascii="Times New Roman" w:cs="Times New Roman" w:eastAsia="Times New Roman" w:hAnsi="Times New Roman"/>
          <w:sz w:val="16"/>
          <w:szCs w:val="16"/>
          <w:color w:val="auto"/>
        </w:rPr>
      </w:pPr>
    </w:p>
    <w:p>
      <w:pPr>
        <w:ind w:left="582" w:hanging="288"/>
        <w:spacing w:after="0" w:line="255" w:lineRule="auto"/>
        <w:tabs>
          <w:tab w:leader="none" w:pos="578"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changes in our business and the markets in which we operate, due in part to restrictive covenants in our debt instruments;</w:t>
      </w:r>
    </w:p>
    <w:p>
      <w:pPr>
        <w:ind w:left="582" w:hanging="288"/>
        <w:spacing w:after="0"/>
        <w:tabs>
          <w:tab w:leader="none" w:pos="582"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Possibly placing us at a competitive disadvantage compared to our competitors that have less debt, a lower cost of borrowing or less restrictive debt covenants; and</w:t>
      </w:r>
    </w:p>
    <w:p>
      <w:pPr>
        <w:spacing w:after="0" w:line="11" w:lineRule="exact"/>
        <w:rPr>
          <w:rFonts w:ascii="Times New Roman" w:cs="Times New Roman" w:eastAsia="Times New Roman" w:hAnsi="Times New Roman"/>
          <w:sz w:val="16"/>
          <w:szCs w:val="16"/>
          <w:color w:val="auto"/>
        </w:rPr>
      </w:pPr>
    </w:p>
    <w:p>
      <w:pPr>
        <w:ind w:left="582" w:hanging="288"/>
        <w:spacing w:after="0"/>
        <w:tabs>
          <w:tab w:leader="none" w:pos="582"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borrow additional funds or to borrow funds at rates or on other terms that we find acceptable.</w:t>
      </w:r>
    </w:p>
    <w:p>
      <w:pPr>
        <w:spacing w:after="0" w:line="217"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Our classification of the indebtedness related to our Delayed Draw Notes within the current portion of long-term debt, net may enhance these risks further and further adversely affect our business and financial condition.</w:t>
      </w:r>
    </w:p>
    <w:p>
      <w:pPr>
        <w:spacing w:after="0" w:line="162" w:lineRule="exact"/>
        <w:rPr>
          <w:sz w:val="20"/>
          <w:szCs w:val="20"/>
          <w:color w:val="auto"/>
        </w:rPr>
      </w:pPr>
    </w:p>
    <w:p>
      <w:pPr>
        <w:jc w:val="both"/>
        <w:ind w:left="2"/>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Our indebtedness and credit facilities contain financial covenants and other restrictions on our actions that may limit our operational flexibility or otherwise adversely affect our results of operations, including as a result of a potential Event of Default under our Delayed Draw Notes.</w:t>
      </w:r>
    </w:p>
    <w:p>
      <w:pPr>
        <w:spacing w:after="0" w:line="162" w:lineRule="exact"/>
        <w:rPr>
          <w:sz w:val="20"/>
          <w:szCs w:val="20"/>
          <w:color w:val="auto"/>
        </w:rPr>
      </w:pPr>
    </w:p>
    <w:p>
      <w:pPr>
        <w:jc w:val="both"/>
        <w:ind w:left="2"/>
        <w:spacing w:after="0" w:line="248" w:lineRule="auto"/>
        <w:rPr>
          <w:sz w:val="20"/>
          <w:szCs w:val="20"/>
          <w:color w:val="auto"/>
        </w:rPr>
      </w:pPr>
      <w:r>
        <w:rPr>
          <w:rFonts w:ascii="Times New Roman" w:cs="Times New Roman" w:eastAsia="Times New Roman" w:hAnsi="Times New Roman"/>
          <w:sz w:val="16"/>
          <w:szCs w:val="16"/>
          <w:color w:val="auto"/>
        </w:rPr>
        <w:t>The terms of certain of our indebtedness and credit facilities include a number of covenants that limit our ability and our subsidiaries’ ability to, among other things, incur additional indebtedness, grant liens, merge or consolidate with other companies, sell or otherwise dispose of our assets, pay dividends, make redemptions and repurchases of stock, make investments, loans and acquisitions, change the nature of our business or engage in transactions with affiliates. In addition, we must comply with a minimum EBITDA covenant to the extent we have not cash collateralized letters of credit issued by our senior lender, as well as a minimum free cash flow covenant, and a minimum liquidity covenant, and maintain our common stock’s listing on Nasdaq. Due to the March 2023 U.S. government-arranged temporary closure of SVB, we have added additional letters of credit issuance facilities and may seek additional or replacement credit arrangements, in part to support letters of credit or other security instruments for our leases of guest properties. Any future credit arrangements may have stricter covenants or other more onerous terms than our current arrangements. The terms of our indebtedness and credit facilities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to compete against companies that are not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Any failure to comply with the covenants or payment requirements specified in our credit agreements, including as described in the next paragraph, could result in an event of default under the agreements, which, if not cured or waived, would give the lenders the right to terminate their commitments to provide additional loans, declare all borrowings outstanding, together with accrued and unpaid interest and fees, to be immediately due and payable, increase the interest rates applicable to such debt, and exercise rights and remedies, including by way of initiating foreclosure proceedings against any assets constituting collateral for the obligations under the credit facilities. If our debt were to be accelerated, including as described in the next paragraph, we may not have sufficient cash or be able to borrow sufficient funds to refinance the debt or sell sufficient assets to repay the debt, which could immediately adversely affect our business, results of operations, financial condition, and cash flows. Even if we were able to obtain new financing, such financing may not be on commercially reasonable terms or on terms that are acceptable to us.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As a result of the potential Event of Default, the indebtedness related to our Delayed Draw Notes as of December 31, 2023 has been reclassified from long-term debt, net to current portion of long term-debt, net. These events could further limit our ability to obtain adequate or satisfactory financing when we require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Securities</w:t>
      </w:r>
    </w:p>
    <w:p>
      <w:pPr>
        <w:spacing w:after="0" w:line="23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not in compliance with Nasdaq’s requirements for continued listing of our securities, and if we fail to continue to meet the listing standards of Nasdaq, our common stock and publicly traded warrants may be delisted, which could have a material adverse effect on the liquidity and trading price of our common stock and warrants and on our ability to raise capital, and other adverse consequences.</w:t>
      </w:r>
    </w:p>
    <w:p>
      <w:pPr>
        <w:spacing w:after="0" w:line="1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Our common stock and publicly traded warrants currently trade on The Nasdaq Global Select Market. The Nasdaq Stock Market LLC (“Nasdaq”) has requirements for our equity securities to remain listed on Nasdaq, including, among others, rules requiring timely filing of SEC reports, governance rules including requirements for stockholder approval of certain transactions, and a rule requiring our common stock to maintain a minimum closing bid price of $1.00 per share. We have received notices from Nasdaq notifying us that, because we were delinquent in filing our required periodic reports with the SEC, we are not in compliance with Nasdaq Listing Rule 5250(c)(1). We submitted a plan to regain compliance and, although we are working diligently toward regaining compliance, no assurance can be given that we will file such reports within the time periods required by Nasdaq. If we fail to do so, we expect the Nasdaq staff to notify us that our securities will be delisted, and at that time, we expect to appeal that</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 xml:space="preserve">determination to a Nasdaq Hearing Panel. The outcome of any such Nasdaq process is inherently uncertain. </w:t>
      </w:r>
      <w:r>
        <w:rPr>
          <w:rFonts w:ascii="Times New Roman" w:cs="Times New Roman" w:eastAsia="Times New Roman" w:hAnsi="Times New Roman"/>
          <w:sz w:val="19"/>
          <w:szCs w:val="19"/>
          <w:color w:val="auto"/>
        </w:rPr>
        <w:t>T</w:t>
      </w:r>
      <w:r>
        <w:rPr>
          <w:rFonts w:ascii="Times New Roman" w:cs="Times New Roman" w:eastAsia="Times New Roman" w:hAnsi="Times New Roman"/>
          <w:sz w:val="16"/>
          <w:szCs w:val="16"/>
          <w:color w:val="auto"/>
        </w:rPr>
        <w:t>here can be no assurance that we will remain in compliance with Nasdaq’s listing requirements in the future.</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we fail to maintain compliance with Nasdaq’s listing requirements, our common stock and publicly traded warrants could be delisted from Nasdaq. If that occurs, the liquidity of our common stock and publicly traded warrants would be adversely affected, and their market prices could decrease. In addition, a suspension or removal of listing of our common stock from Nasdaq, or the initiation or threatening of additional proceedings from Nasdaq, could cause the second closing of our sale of Preferred Stock not to occur. Delisting would also constitute an event of default under certain of our debt instruments, which would require us to expend cash to repay debt or replace letters of credit. It could cause other adverse consequences, such as difficulties in raising capital and in providing stock-based incentives to attract and retain personnel. Delisting could also impair our reputation and our relationships with real estate owners and other business partners, which could make it more difficult or costly for us to expand our portfolio of leased properties. In addition, our common stock could be deemed to be a “penny stock,” which could result in reduced levels of trading in our common stock, and we would also become subject to additional State securities regulations in connection with any sales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Resales of shares of our common stock could depress the market price of our common stock.</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significant number of shares of our common stock have been registered under the Securities Act of 1933, as amended, or the Securities Act, and are freely tradable. Sales of shares of common stock in the public market or the perception that these sales might occur, may depress the market price of our common stock and could impair our ability to raise capital through the sale of additional equity securities, including convertible debt. We are unable to predict the effect that such sales, or of future conversions or exchanges of convertible or exchangeable securities for shares of common stock may have on the prevailing market price of our common stock. See the risk factor below entitled “</w:t>
      </w:r>
      <w:r>
        <w:rPr>
          <w:rFonts w:ascii="Times New Roman" w:cs="Times New Roman" w:eastAsia="Times New Roman" w:hAnsi="Times New Roman"/>
          <w:sz w:val="16"/>
          <w:szCs w:val="16"/>
          <w:i w:val="1"/>
          <w:iCs w:val="1"/>
          <w:color w:val="auto"/>
        </w:rPr>
        <w:t>Conversion of our shares of Preferred Stock into common stock and related resales of shares in the public market may dilute the ownership interests of our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stockholders and depress the price of our common stock and other publicly traded securities, and the other terms of the Preferred Stock may adversely affect us</w:t>
      </w:r>
      <w:r>
        <w:rPr>
          <w:rFonts w:ascii="Times New Roman" w:cs="Times New Roman" w:eastAsia="Times New Roman" w:hAnsi="Times New Roman"/>
          <w:sz w:val="16"/>
          <w:szCs w:val="16"/>
          <w:color w:val="auto"/>
        </w:rPr>
        <w:t>” for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about the potential adverse effects of securities resales.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and trading volume of our common stock and publicly traded warrants may be volatile and could decline significantly.</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stock markets, including Nasdaq, have, from time to time, experienced significant price and volume fluctuations. Even if an active, liquid and orderly trading market develops and is sustained for our common stock, the market price of our common stock and our publicly traded warrants may be volatile and could decline significantly. In addition, the trading volume in our common stock and warrants may fluctuate and cause significant price variations to occur. The trading price of our common stock has recently declined and may decline further in the future. If the market price of our common stock declines significantly, you may be unable to resell your shares or warrants at or above the market price at which you acquired them. We cannot assure you that the market price of our common stock or warrants will not fluctuate widely or decline significantly in the future in response to a number of factors, including, among others, the following:</w:t>
      </w:r>
    </w:p>
    <w:p>
      <w:pPr>
        <w:spacing w:after="0" w:line="191" w:lineRule="exact"/>
        <w:rPr>
          <w:sz w:val="20"/>
          <w:szCs w:val="20"/>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realization of any of the risk factors presented in this report;</w:t>
      </w:r>
    </w:p>
    <w:p>
      <w:pPr>
        <w:spacing w:after="0" w:line="27"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differences or changes in our estimates, or in the estimates of analysts, for our revenues, Free Cash Flow, or other cash flow measures, results of operations, operating metrics, level of indebtedness, liquidity or financial condition;</w:t>
      </w:r>
    </w:p>
    <w:p>
      <w:pPr>
        <w:ind w:left="580" w:hanging="288"/>
        <w:spacing w:after="0"/>
        <w:tabs>
          <w:tab w:leader="none" w:pos="58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3" w:lineRule="exact"/>
        <w:rPr>
          <w:rFonts w:ascii="Arial" w:cs="Arial" w:eastAsia="Arial" w:hAnsi="Arial"/>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and departures of key personnel;</w:t>
      </w:r>
    </w:p>
    <w:p>
      <w:pPr>
        <w:spacing w:after="0" w:line="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the listing requirements of Nasdaq, or the disclosure of any notifications from Nasdaq about the listing status of our common stock;</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the Sarbanes-Oxley Act or other laws or regulations;</w:t>
      </w:r>
    </w:p>
    <w:p>
      <w:pPr>
        <w:spacing w:after="0" w:line="11" w:lineRule="exact"/>
        <w:rPr>
          <w:rFonts w:ascii="Times New Roman" w:cs="Times New Roman" w:eastAsia="Times New Roman" w:hAnsi="Times New Roman"/>
          <w:sz w:val="16"/>
          <w:szCs w:val="16"/>
          <w:color w:val="auto"/>
        </w:rPr>
      </w:pPr>
    </w:p>
    <w:p>
      <w:pPr>
        <w:ind w:left="580" w:hanging="288"/>
        <w:spacing w:after="0" w:line="255" w:lineRule="auto"/>
        <w:tabs>
          <w:tab w:leader="none" w:pos="5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or anticipated issuances, sales, resales or repurchases of our securities, or any amendments or adjustments in their terms, including but not limited to the issuance and resale of additional shares of common stock upon conversion of our outstanding shares of Preferred Stock;</w:t>
      </w: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about us or other publicity about us, our properties, or incidents at our propertie</w:t>
      </w:r>
      <w:r>
        <w:rPr>
          <w:rFonts w:ascii="Times New Roman" w:cs="Times New Roman" w:eastAsia="Times New Roman" w:hAnsi="Times New Roman"/>
          <w:sz w:val="16"/>
          <w:szCs w:val="16"/>
          <w:color w:val="008080"/>
        </w:rPr>
        <w:t>s</w:t>
      </w:r>
      <w:r>
        <w:rPr>
          <w:rFonts w:ascii="Times New Roman" w:cs="Times New Roman" w:eastAsia="Times New Roman" w:hAnsi="Times New Roman"/>
          <w:sz w:val="16"/>
          <w:szCs w:val="16"/>
          <w:color w:val="auto"/>
        </w:rPr>
        <w:t>;</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and market valuations of other similar companies;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or other legal proceedings involving us;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 disruptions in the financial markets, including sudden disruptions in the credit markets;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in the press or investment community;</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potential or perceived control, accounting or reporting problems;</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and guidelines; and</w:t>
      </w:r>
    </w:p>
    <w:p>
      <w:pPr>
        <w:spacing w:after="0" w:line="11" w:lineRule="exact"/>
        <w:rPr>
          <w:rFonts w:ascii="Times New Roman" w:cs="Times New Roman" w:eastAsia="Times New Roman" w:hAnsi="Times New Roman"/>
          <w:sz w:val="16"/>
          <w:szCs w:val="16"/>
          <w:color w:val="auto"/>
        </w:rPr>
      </w:pPr>
    </w:p>
    <w:p>
      <w:pPr>
        <w:ind w:left="580" w:hanging="288"/>
        <w:spacing w:after="0" w:line="271" w:lineRule="auto"/>
        <w:tabs>
          <w:tab w:leader="none" w:pos="5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or factors, including those resulting from infectious diseases, health epidemics and pandemics, natural disasters, war, acts of terrorism, cyber-attacks, information security incidents, or responses to these events.</w:t>
      </w:r>
    </w:p>
    <w:p>
      <w:pPr>
        <w:spacing w:after="0" w:line="1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16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Conversion of our shares of Preferred Stock into common stock and related resales of shares in the public market may dilute the ownership interests of our other stockholders and depress the price of our common stock and other publicly traded securities, and the other terms of the Preferred Stock may adversely affect us.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August 2024, we issued approximately 14.7 million shares of Preferred Stock in a private placement and may issue up to an additional 28.6 million shares of Preferred Stock after satisfying certain closing conditions. The number of shares of common stock issuable upon conversion of shares of Preferred Stock is substantial and is subject to increase upon certain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future securities issuances. The conversion of some or all of the Preferred Stock may dilute the ownership interests of our other stockholders, and this dilution could be material. Any sales in the public market of our common stock issuable upon such conversion could adversely affect prevailing market prices of our common stock and publicly traded warrants. In addition, the existence of the Preferred Stock may encourage short selling by stock market participants, because the conversion of the Preferred Stock could be used to satisfy short positions, or anticipated conversion of the Preferred Stock into shares of our common stock could depress the price of our common stock. The Preferred Stock may also make it more difficult for us to raise equity capital in the future, because the purchasers of the Preferred Stock collectively have a right to purchase up to 25% of any equity offering before August 2029 at a 25% discount, which could also further dilute the interests of other stockholders, and the right to consent to certain future financings.</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Future issuances of debt securities and equity securities may adversely affect us, including the market price of our common stock, and may be dilutive to existing stockholders.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Preferred Stock ranks senior to our common stock, and in the future, we may incur debt or issue additional equity securities ranking senior to our common stock. The Preferred Stock and any future senior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or provide for the issuance of additional equity securities that could be dilutive to existing stockholders. Because any decision to issue debt or equity in the future will depend on market conditions and other factors beyond our control, and because of our existing Preferred Stock’s rights to participate in and/or consent to certain future securities issuances, we cannot predict or estimate the amount, timing, nature or success of our future capital raising efforts. As a result, future capital raising efforts may reduce the market price of our common stock and be dilutive to existing stockholders.</w:t>
      </w:r>
    </w:p>
    <w:p>
      <w:pPr>
        <w:spacing w:after="0" w:line="18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us, our business, or our market, or if they change their recommendations regarding our common stock adversely, then the price and trading volume of our common stock could decline.</w:t>
      </w:r>
    </w:p>
    <w:p>
      <w:pPr>
        <w:spacing w:after="0" w:line="1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research and reports that industry or securities analysts may publish about us, our business, our market, or our competitors. If few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common stock would likely decline. If any analyst who may cover us ceases coverage of us or fails to regularly publish reports on us, we could lose visibility in the financial markets, which could cause our stock price or trading volume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no guarantee that the Public Warrants will ever be in the money, and they may expire worthless.</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Our publicly traded warrants (the “Public Warrants”) are exercisable on the basis of 20 Public Warrants for one share of common stock, at an exercise price of $230.00 per share. There is no guarantee that the Public Warrants will ever be in the money prior to their expiration, and as such, the Public Warrants may expire worthless.</w:t>
      </w:r>
    </w:p>
    <w:p>
      <w:pPr>
        <w:spacing w:after="0" w:line="162"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amend the terms of the Public Warrants in a manner that may be adverse to holders with the approval by the holders of at least 50.0% of the then-outstanding Public Warrants.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Public Warrants were issued in registered form under a warrant agreement with Computershare that provides that the terms of the Public Warrants may be amended without the consent of any holder to cure any ambiguity or correct any defective provision but requires the approval by the holders of at least 50.0% of the then-outstanding Public Warrants to make any change that adversely affects the interests of the registered holders. Accordingly, we may amend the terms of the Public Warrants in a manner adverse to a holder if holders of at least 50.0% of the then-outstanding Public Warrants approve of such amendment. Although our ability to amend the terms of the Public Warrants with the consent of at least 50.0% of the then-outstanding Public Warrants is unlimited, examples of such amendments could be amendments to, among other things, increase the exercise price of the Public Warrants, shorten the exercise period, or decrease the number of shares of Common Stock purchasable upon exercise of a Public Warrant.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6"/>
          <w:szCs w:val="16"/>
          <w:b w:val="1"/>
          <w:bCs w:val="1"/>
          <w:i w:val="1"/>
          <w:iCs w:val="1"/>
          <w:color w:val="auto"/>
        </w:rPr>
        <w:t>We may redeem unexpired Public Warrants prior to their exercise at a time and at a price that is disadvantageous to warrant holders, thereby making their Public Warrants worthless, and an exercise of a significant number of warrants could adversely affect the market price of our Common Stock</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the ability to redeem outstanding Public Warrants at any time after they become exercisable and prior to their expiration, at a price of $0.01 per Public Warrant; provided that the last reported sales price of our Common Stock equals or exceeds $360.00 per share (as adjusted for the Reverse Stock Split) for any 20 trading days within a 30 trading-day period ending on the third trading day prior to the date on which we give proper notice of such redemption to the warrant holders and provided certain other conditions are met. If and when the Public Warrants become redeemable by us, we may exercise our redemption right even if we are unable to register or qualify the underlying securities for sale under all applicable state securities laws.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Additionally, if a significant number of Public Warrant holders exercise their Public Warrants instead of accepting the nominal redemption price, the issuance of these shares would dilute other equity holders, which could reduce the market price of our Common Stock. As of the date of this report, our Common Stock has never traded above $360.00 per share (as adjusted for the Reverse Stock Split).</w:t>
      </w:r>
    </w:p>
    <w:p>
      <w:pPr>
        <w:spacing w:after="0" w:line="19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addition, we may redeem Public Warrants after they become exercisable for a number of shares of Common Stock determined based on the redemption date and the fair market value of our Common Stock, starting at a trading price of $200.00 (as adjusted for the Reverse Stock Split). Any such redemption may have similar consequences to a cash redemption described above. In addition, such redemption may occur at a time when the Public Warrants are “out-of-the-money,” in which case holders of Public Warrants would lose any potential embedded value from a subsequent increase in the value of the Common Stock had such holders’ Public Warrants remained outstanding.</w:t>
      </w:r>
    </w:p>
    <w:p>
      <w:pPr>
        <w:spacing w:after="0" w:line="18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Provisions in the Amended and Restated Bylaws designate the Court of Chancery of the State of Delaware as the sole and exclusive forum for certain types of actions and proceedings that may be initiated by our stockholders, which could limit the ability of our stockholders to bring a claim in a judicial forum that it finds favorable for disputes with us or with our directors, officers or employees and may discourage stockholders from bringing such claims.</w:t>
      </w:r>
    </w:p>
    <w:p>
      <w:pPr>
        <w:spacing w:after="0" w:line="17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180" w:lineRule="exact"/>
        <w:rPr>
          <w:sz w:val="20"/>
          <w:szCs w:val="20"/>
          <w:color w:val="auto"/>
        </w:rPr>
      </w:pPr>
    </w:p>
    <w:p>
      <w:pPr>
        <w:ind w:left="580" w:hanging="288"/>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27" w:lineRule="exact"/>
        <w:rPr>
          <w:rFonts w:ascii="Times New Roman" w:cs="Times New Roman" w:eastAsia="Times New Roman" w:hAnsi="Times New Roman"/>
          <w:sz w:val="16"/>
          <w:szCs w:val="16"/>
          <w:color w:val="auto"/>
        </w:rPr>
      </w:pPr>
    </w:p>
    <w:p>
      <w:pPr>
        <w:ind w:left="580" w:right="3340" w:hanging="288"/>
        <w:spacing w:after="0" w:line="255" w:lineRule="auto"/>
        <w:tabs>
          <w:tab w:leader="none" w:pos="57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of our directors, stockholders, officers or other employees to us or our stockholders;</w:t>
      </w:r>
    </w:p>
    <w:p>
      <w:pPr>
        <w:ind w:left="580" w:right="3760" w:hanging="288"/>
        <w:spacing w:after="0" w:line="255" w:lineRule="auto"/>
        <w:tabs>
          <w:tab w:leader="none" w:pos="53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arising pursuant to any provision of the Delaware General Corporation Law, our Amended and Restated Certificate of Incorporation or our Amended and Restated Bylaws; or</w:t>
      </w:r>
    </w:p>
    <w:p>
      <w:pPr>
        <w:ind w:left="540" w:hanging="248"/>
        <w:spacing w:after="0"/>
        <w:tabs>
          <w:tab w:leader="none" w:pos="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2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This exclusive forum provision may limit a stockholder’s ability to bring a claim in a judicial forum that it finds favorable for disputes with us or any of our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as other provisions in the Amended and Restated Bylaws designate the federal district courts of the United States as the sole and exclusive forum for the resolution of any complaint asserting a cause of action arising under the Securities Act against any person in connection with any offering of our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we would expect to vigorously assert the validity and enforceability of the exclusive forum provisions of the Amended and Restated Bylaws. However, there can be no assurance that the provisions will be enforced by a court in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those other jurisdictions. If a court were to find the exclusive forum provision contained in the Amended and Restated Bylaws to be inapplicable or unenforceable in an action, we may incur additional costs associated with resolving such action in other jurisdictions, which could harm our business, results of operations,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 Management and Strategy</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Our business involves the collection, storage, transmission, and other processing of confidential and sensitive data, including information about our guests and employees, and our operations depend on various information technology systems, communications networks, and technology applications, including those of third parties such as software-as-a-service providers. Accordingly, we face cybersecurity threats on an ongoing basis. For additional information regarding whether any risks from cybersecurity threats, including as a result of any previous cybersecurity incidents, have materially affected or are reasonably likely to materially affect us, including our business strategy, results of operations, financial condition, and cash flows, please refer to Item 1A. Risk Factors, above, in this report.</w:t>
      </w:r>
    </w:p>
    <w:p>
      <w:pPr>
        <w:spacing w:after="0" w:line="18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have implemented, and are continuing to develop, various information security processes and measures designed to identify, assess and manage material risks from cybersecurity threats. Depending on the context, our technical and operational measures include vulnerability and risk assessments, network security and access controls, encryption of relevant data, systems monitoring, and employee training. Our Information Security team refers to the National Institute of Standards and Technology cybersecurity framework, among other industry reference sources, as a general guide in implementing security measures and addressing cybersecurity risks. Our senior management team considers cybersecurity risks among our other important enterprise-wide risks, on an ongoing basis.</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We work with third parties from time to time to assist us in our cybersecurity efforts, including technology consulting firms and legal advisors, and on a periodic basis, an external vulnerability testing vendor with respect to certain Payment Card Industry Data Security Standard (PCI DSS) requirements. Depending on the nature of the services provided, the information involved, and the identity of the service provider, our vendor management process may include reviewing the cybersecurity practices of such provider. We also participate in a “bug bounty” program that provides incentives for third-party researchers to identify possible system vulnerabilities.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also maintain cybersecurity insurance coverage. Our insurance coverage may not cover or fully insure all cybersecurity-related risks that we face, as described in Item 1A. Risk Factors, elsewhere in this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Our Board of Directors has ultimate oversight responsibility for the Company’s strategy and risk management, including material risks related to cybersecurity threats. The Board administers its risk oversight function directly and through the Board’s Audit Committee.</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Our executive officers are responsible for the day-to-day management of the material risks we face, including cybersecurity risks. Among other things, management is responsible for hiring appropriate personnel, designing and implementing cybersecurity-related processes, communicating priorities to relevant personnel, and assessing cybersecurity incidents as they arise.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Among members of our senior management, cybersecurity matters are overseen by our Senior Vice President, Technology, who reports to our Chief Executive Officer and has more than two decades of experience in product leadership, engineering and data science. Our Senior Manager, IT Compliance and Information Security (“Head of Information Security”) reports to our Senior Vice President, Technology, and leads our cybersecurity risk assessment, management and response processes, including their implementation and maintenance. Before joining Sonder in January 2022, our Head of Information Security had approximately 18 years of additional experience as an information security officer and security consultant. He holds CISSP, CISM, and CDPSE certifications.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cybersecurity incident response and vulnerability management processes are designed to escalate cybersecurity incidents to members of management, and if applicable, to members of our Board of Directors, depending on the circumstances. Our Head of Information Security also has monthly program updates with our Senior Vice President, Technology and other technology team members to discuss cybersecurity and other technology related initiatives, progress and status. Additional discussions occur in preparation for quarterly Board meetings and on an ad hoc basis.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Board of Directors receives quarterly reports from management, including our Senior Vice President, Technology, concerning significant cybersecurity risks and assessments, and related matters. Management also updates members of our Audit Committee concerning cybersecurity matters from time to time, as circumstances warrant.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 substantial percentage of Sonder’s corporate staff, including senior management, works remotely. Sonder leases or licenses office space for corporate and administrative purposes at various locations from time to time, none of which is material to its operations.</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Sonder’s principal warehouse for furniture distribution in the United States and Canada is in Fort Worth, Texas at a facility owned by a third-party, where Sonder was utilizing approximately 170,000 square feet of storage space as of August 30, 2024, under a contract that expires on December 31, 2026 unless terminated earlier pursuant to its terms. Sonder also leases smaller warehouse and storage spaces to support various cities’ operations.</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Sonder believes that its existing facilities are adequate for its near-term needs, and that suitable alternative space would be available if required in the future on commercially reasonable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Sonder has been and expects to continue to become involved in litigation or other legal proceedings from time to time, including the matter described below. Except as described below, Sonder is not currently a party to any litigation or legal proceedings that, in the opinion of Sonder’s management, are likely to have a material adverse effect on Sonder’s business. Regardless of outcome, litigation and other legal proceedings can have an adverse impact on Sonder because of defense and settlement costs, diversion of management resources, possible restrictions on its business as a result of settlement or adverse outcomes, and other factors.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February 2020, Sonder was informed about an investigation underway by the New York City Department of Health and Mental Hygiene relating to possible Legionella bacteria contamination in the water supply at 20 Broad Street, New York, NY (the “Broad Street Property”). Due to the failure of the owner of the Broad Street Property (the “Broad Street Landlord”) to address the Legionella bacteria contamination and the associated health risks posed to guests, Sonder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Sonder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Sonder’s counterclaims; and ordering a trial for the amount of damages.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November 13, 2023, Sonder filed a notice of appeal of the October 13, 2023 court order on liability. 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failed to maintain the plumbing systems in good repair for the period prior to when Sonder began withholding payment of rent.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 Holders of Common Stock, and Dividends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common stock and publicly traded warrants are traded on the Nasdaq Global Select Market under the symbols “SOND” and “SONDW,” respectively. On September 16, 2024, there were 148 holders of record of our Common Stock and one holder of record of our publicly traded warrants. Such numbers do not include beneficial owners holding our securities through nominees.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intend to declare or pay any cash dividends in the foreseeable future.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“Part III, Item 12. Security Ownership of Certain Beneficial Owners and Management and Related Stockholder Matters.”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Unregistered Sales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following graph shows a comparison of the cumulative total stockholder return of an investment of $100 from January 19, 2022, which was the first full day our common stock began publicly trading following the consummation of the Business Combination, through December 31, 2023 for (i) our common stock, (ii) the Nasdaq Composite Index (“Nasdaq Composite”), (iii) the Standard &amp; Poors 500 (“S&amp;P 500”) Hotels, Resorts &amp; Cruise Lines and (iv) the S&amp;P 500 Stock Index. The graph also uses the closing market price on January 19, 2022 of $164.40 per share as the initial value of our common stock. Per share amounts reflect a 1-for-20 Reverse Stock Split that became effective on September 20, 2023. The comparisons shown in the graph below are based upon historical data. We caution that the stock price performance shown in the graph below is not necessarily indicative of, nor is it intended to forecast, the potential future price performance of our common stock. The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257175</wp:posOffset>
            </wp:positionV>
            <wp:extent cx="4765675" cy="2954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5675" cy="295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01/19/22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03/31/22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06/30/22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09/30/22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03/31/23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06/30/23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09/30/23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12/31/23</w:t>
            </w:r>
          </w:p>
        </w:tc>
      </w:tr>
      <w:tr>
        <w:trPr>
          <w:trHeight w:val="38"/>
        </w:trPr>
        <w:tc>
          <w:tcPr>
            <w:tcW w:w="24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9"/>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Sonder Holdings Inc.</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$57.79</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$12.65</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$15.09</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$6.45</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$4.99</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$2.06</w:t>
            </w:r>
          </w:p>
        </w:tc>
      </w:tr>
      <w:tr>
        <w:trPr>
          <w:trHeight w:val="219"/>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$76.91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$73.75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$72.99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$96.15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$92.18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$104.68</w:t>
            </w:r>
          </w:p>
        </w:tc>
      </w:tr>
      <w:tr>
        <w:trPr>
          <w:trHeight w:val="38"/>
        </w:trPr>
        <w:tc>
          <w:tcPr>
            <w:tcW w:w="2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7"/>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500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$99.95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$83.51</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$79.10</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$84.71</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$90.66</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$98.18</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$94.60</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$105.23</w:t>
            </w:r>
          </w:p>
        </w:tc>
      </w:tr>
      <w:tr>
        <w:trPr>
          <w:trHeight w:val="204"/>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S&amp;P 500 Hotels, Resorts &amp; Cruise</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1"/>
        </w:trPr>
        <w:tc>
          <w:tcPr>
            <w:tcW w:w="2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Lines Index</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$104.05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$69.43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$68.79</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$77.50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$94.16</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$106.67</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$109.87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$128.56</w:t>
            </w:r>
          </w:p>
        </w:tc>
      </w:tr>
    </w:tbl>
    <w:p>
      <w:pPr>
        <w:spacing w:after="0" w:line="3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has historically provided the S&amp;P 500 stock index as part of the stock performance graph. For the year ended December 31, 2023, the Company is providing the S&amp;P 500 Hotels, Resorts &amp; Cruise Lines stock index as it believes this more closely aligns with the Company’s services and industry. For transition purposes, both indexes are provided for comparison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following discussion and analysis of the financial condition and results of operations of Sonder Holdings Inc. (“Sonder,” “we,” “us” or “our”) should be read together with Sonder’s audited consolidated financial statements and related notes included elsewhere in this Annual Report on Form 10-K.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herein or in other parts of this Annual Report on Form 10-K. Sonder’s historical results are not necessarily indicative of the results that may be expected for any period in the future. Except as otherwise noted, all references to 2023 refer to the year ended December 31, 2023, and references to 2022 refer to the year ended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over 40 markets, spanning ten countries and three continents. The Sonder app gives guests full control over their stay. Complete with self-service features, simple check-in and 24/7 on-the-ground support, amenities and services at Sonder are just a tap away, making a world of better stays open to all. In summer 2024, the company announced a strategic licensing agreement with Marriott International.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Previously Issued Financial Statements</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Subsequent to the issuance of our consolidated financial statements for the year ended December 31, 2022, management identified errors in previously issued financial statements. As a result, our consolidated financial statements as of and for the years ended December 31, 2021 and December 31, 2022 have been restated from amounts previously reported. The following management’s discussion and analysis gives effect to the restatement discussed in Note 2, </w:t>
      </w:r>
      <w:r>
        <w:rPr>
          <w:rFonts w:ascii="Times New Roman" w:cs="Times New Roman" w:eastAsia="Times New Roman" w:hAnsi="Times New Roman"/>
          <w:sz w:val="16"/>
          <w:szCs w:val="16"/>
          <w:i w:val="1"/>
          <w:iCs w:val="1"/>
          <w:color w:val="auto"/>
        </w:rPr>
        <w:t>Restatement of Previously Issued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Statements, </w:t>
      </w:r>
      <w:r>
        <w:rPr>
          <w:rFonts w:ascii="Times New Roman" w:cs="Times New Roman" w:eastAsia="Times New Roman" w:hAnsi="Times New Roman"/>
          <w:sz w:val="16"/>
          <w:szCs w:val="16"/>
          <w:color w:val="auto"/>
        </w:rPr>
        <w:t>to the consolidated financial statements for the year ended December 31, 2023, included elsewhere in this Annual Report on Form 10-K.</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The relevant unaudited interim financial information for the quarterly periods March 31, 2022, June 30, 2022, September 30, 2022, March 31, 2023, June 30, 2023, and September 30, 2023 has also been restated from amounts previously reported and is included in Note 19, </w:t>
      </w:r>
      <w:r>
        <w:rPr>
          <w:rFonts w:ascii="Times New Roman" w:cs="Times New Roman" w:eastAsia="Times New Roman" w:hAnsi="Times New Roman"/>
          <w:sz w:val="16"/>
          <w:szCs w:val="16"/>
          <w:i w:val="1"/>
          <w:iCs w:val="1"/>
          <w:color w:val="auto"/>
        </w:rPr>
        <w:t>Quarterly Financial Information (Unaudited)</w:t>
      </w:r>
      <w:r>
        <w:rPr>
          <w:rFonts w:ascii="Times New Roman" w:cs="Times New Roman" w:eastAsia="Times New Roman" w:hAnsi="Times New Roman"/>
          <w:sz w:val="16"/>
          <w:szCs w:val="16"/>
          <w:color w:val="auto"/>
        </w:rPr>
        <w:t xml:space="preserve">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following summary of certain events and developments subsequent to December 31, 2023 should be read in conjunction with the additional information contained elsewhere in this report, including in Part I, Item 1. Business, the Explanatory Note concerning the Restatement of Previously Issued Financial Statements appearing above, and the information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to the consolidated financial statements included in this report.</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As part of our previously announced effort to improve our cash flow, on February 15, 2024, we announced a reduction in force affecting approximately 106 corporate roles, or 17% of the corporate workforce. See “Restructuring” below.</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June 11, 2024 and July 15, 2024, we announced that we had issued an aggregate of $10 million and $6 million, respectively, of delayed draw subordinated secured notes, and issued warrants to purchase 475,264 shares of our common stock to the note purchasers, pursuant to amendments to our Note and Warrant Purchase Agreement dated as of December 10, 2021, as amended. The warrants to purchase 123,750 shares of our common stock that were originally issued to the note purchasers were canceled in connection with such amendments.</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See Item 1. Business, Portfolio Optimization Update, for information about developments in our portfolio optimization program and our Live Units and Contracted Units as of June 30, 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Sonder’s Business Model</w:t>
      </w:r>
    </w:p>
    <w:p>
      <w:pPr>
        <w:spacing w:after="0" w:line="16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lease properties that meet our standards, furnish and decorate them to provide a design-led, technology-enabled experience, and then make them available for guests to book directly (through the Sonder app, our website, or our sales personnel) or through indirect channels (such as Airbnb, Expedia, and Booking.com). Additionally, we operate boutique hotels designated as Powered by Sonder properties, each with its own unique design elements and features, and which are available for guests to book in the same manner as our other properties. We manage our properties using proprietary and third-party technologies and deliver services to guests via the Sonder app and 24/7 on-the-ground support. Incorporating technology into all aspects of the business, we offer consistent quality at a compelling value to our guests.</w:t>
      </w:r>
    </w:p>
    <w:p>
      <w:pPr>
        <w:spacing w:after="0" w:line="18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Our accommodations come in a variety of shapes and sizes to suit guests’ needs – from a multiple-bedroom apartment with fully-equipped kitchen and private laundry facilities, to a hotel room or suite. Our guests include leisure travelers, families, digital nomads, and business travelers.</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currently lease all of our properties. In many of our leases, we have negotiated an upfront allowance paid by the real estate owner to help offset the capital invested to prepare and furnish a building and the individual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Discussion Regarding Opportunities, Challenges, and Risks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 Positive Plan</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Our primary focus is to put the business on a solid path to achieving sustainable positive free cash flow (“FCF”) as soon as possible. FCF is a non-GAAP measure, and the most directly comparable GAAP measure is cash used in operating activities, which was $(110.9) million for the year ended December 31, 2023, a $39.1 million improvement compared to 2022. We have continued to make progress toward this goal as our FCF, excluding restructuring costs and lease termination costs, of $(119.6) million for the year ended December 31, 2023 was a $56.4 million improvement compared to the year ended December 31, 2022.</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part of our efforts to reach positive FCF,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 The goal of this initiative is to reduce those properties’ impact on our profitability and cash flow through mutually agreeable solutions. The scope of the initiative can be expected to change over time, and we cannot predict the number or product mix of the units that may be ultimately affected. Although we are optimistic about reaching mutually beneficial outcomes in many of these continuing discussions, the terms, scope, and timing of any additional changes to our lease obligations, as well as any other effects on our landlord relationships or reputation with future real estate owners and guests who are affected by property transitions, are uncertain.</w:t>
      </w:r>
    </w:p>
    <w:p>
      <w:pPr>
        <w:spacing w:after="0" w:line="19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Our ability to reach our FCF goal is subject to certain risks, including potential changes in travel demand due to macroeconomic factors or other developments affecting travel; inflation; uncertainties associated with the timing and scope of new property openings; uncertainties associated with the portfolio optimization program described above; our ability to achieve our other intended cost reductions and efficiencies; and the other risks and uncertainties described under Part I, Item 1A, “Risk Factors,” in this report.</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Supply Growth</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 key driver of our revenue growth is our ability to convert units for which we have signed real estate contracts but are not yet available for guests to book (“Contracted Units”) into units available for guest booking (“Live Units”) and, to a lesser extent, to continue signing properties with favorable terms. Certain signed leases have contingencies or conditions that we or the landlord must satisfy before we take over the units, and from time to time, we exclude some of these leases from our Contracted Units total based on our judgment about the likelihood that the contingencies or conditions will be satisfied.</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As part of our Cash Flow Positive Plan, we slowed our planned pace of new unit signings to focus on growth primarily through the conversion of our Contracted Units into Live Units. Our Live Units grew by 25.8% from December 31, 2022 to December 31, 2023 to over 12,200 units, driven by strong conversion of our Contracted Units to Live Units. See “Recent Developments” above for information about our Live Units as of June 30, 2024. We are also focused on targeting high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quality, 100% capital light deals (pursuant to which property owners fund the majority of up-front capital expenditures) for incremental unit signings. While we continue to sign high quality, capital light units, development cost uncertainty and augmented risk around financing and landlord sentiment surrounding our stock price performance began to slow the pace of signings starting in the second half of 2022. These challenges were more acute in the second, third and fourth quarters of 2023, resulting in fewer units signed in these periods than in prior quarters, and persisted in 2024. Despite these challenges, we continue to meaningfully scale the business, primarily by continuing to convert Contracted Units into Live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Ability to Attract and Retain Guests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OTAs such as Airbnb, Booking.com, and Expedia.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has fluctuated in recent years due to the COVID-19 pandemic but has stabilized above 40% (47.0% for the year ended December 31, 2023). Additionally, we continue to focus on expanding our corporate sales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Technology</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have invested, and will continue to invest, resources in our technology architecture and infrastructure and in integrating our properties and systems into Marriott’s platform and systems pursuant to the Marriott Agreement. Technology is essential to our user experience, as it leads guests through their entire Sonder stay, from booking through check-out. Technology also underpins our hospitality operations, from underwriting and supply growth, to building openings, pricing and revenue management, demand generation, interior design, and day-to-day operations. By leveraging technology, our goal is to reduce operating costs and provide a better guest experience at a compelling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conjunction with the Cash Flow Positive Plan, in June 2022, we completed a restructuring of our operations resulting in an approximate 21.0% reduction of corporate roles and a 7.0% reduction of frontline roles. As part of this restructuring, we incurred $4.0 million in one-time restructuring costs in the year ended December 31, 2022, of which approximately $3.7 million was paid out in 2022, and the remainder was paid out by early 2023.</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On March 1, 2023, we announced an additional restructuring affecting approximately 14.0% of the corporate workforce. As part of this restructuring, we incurred $2.1 million in one-time restructuring costs in the year ended December 31, 2023, all of which was paid out as of December 31, 2023.</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February 20, 2024, the Company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 million, primarily related to employee severance and benefits costs, and were recognized and paid in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Business Combination</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January 18, 2022, we consummated the Business Combination, pursuant to which Legacy Sonder merged into one of our subsidiaries and we changed our corporate name to Sonder Holdings Inc. Legacy Sonder has been deemed the accounting predecessor and as such, Legacy Sonder’s financial statements for previous periods are disclosed in Sonder’s periodic reports filed with the SEC subsequent to January 18, 2022. The Business Combination was accounted for as a reverse recapitalization. Under this method of accounting, Gores Metropoulos II, Inc. (“GMII”) was treated as the acquired company for financial statement reporting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tbl>
      <w:tblPr>
        <w:tblLayout w:type="fixed"/>
        <w:tblInd w:w="2"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2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50"/>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provides the key metrics (rounded):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65"/>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6"/>
                <w:szCs w:val="16"/>
                <w:color w:val="auto"/>
              </w:rPr>
              <w:t>Year ended December 31,</w:t>
            </w:r>
          </w:p>
        </w:tc>
        <w:tc>
          <w:tcPr>
            <w:tcW w:w="440" w:type="dxa"/>
            <w:vAlign w:val="bottom"/>
          </w:tcPr>
          <w:p>
            <w:pPr>
              <w:spacing w:after="0"/>
              <w:rPr>
                <w:sz w:val="24"/>
                <w:szCs w:val="24"/>
                <w:color w:val="auto"/>
              </w:rPr>
            </w:pPr>
          </w:p>
        </w:tc>
        <w:tc>
          <w:tcPr>
            <w:tcW w:w="1920" w:type="dxa"/>
            <w:vAlign w:val="bottom"/>
            <w:gridSpan w:val="3"/>
          </w:tcPr>
          <w:p>
            <w:pPr>
              <w:ind w:left="1120"/>
              <w:spacing w:after="0"/>
              <w:rPr>
                <w:sz w:val="20"/>
                <w:szCs w:val="20"/>
                <w:color w:val="auto"/>
              </w:rPr>
            </w:pPr>
            <w:r>
              <w:rPr>
                <w:rFonts w:ascii="Times New Roman" w:cs="Times New Roman" w:eastAsia="Times New Roman" w:hAnsi="Times New Roman"/>
                <w:sz w:val="16"/>
                <w:szCs w:val="16"/>
                <w:color w:val="auto"/>
              </w:rPr>
              <w:t>Change</w:t>
            </w:r>
          </w:p>
        </w:tc>
        <w:tc>
          <w:tcPr>
            <w:tcW w:w="1240" w:type="dxa"/>
            <w:vAlign w:val="bottom"/>
          </w:tcPr>
          <w:p>
            <w:pPr>
              <w:spacing w:after="0"/>
              <w:rPr>
                <w:sz w:val="24"/>
                <w:szCs w:val="24"/>
                <w:color w:val="auto"/>
              </w:rPr>
            </w:pPr>
          </w:p>
        </w:tc>
      </w:tr>
      <w:tr>
        <w:trPr>
          <w:trHeight w:val="38"/>
        </w:trPr>
        <w:tc>
          <w:tcPr>
            <w:tcW w:w="11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2"/>
        </w:trPr>
        <w:tc>
          <w:tcPr>
            <w:tcW w:w="1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No.</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3920" w:type="dxa"/>
            <w:vAlign w:val="bottom"/>
            <w:tcBorders>
              <w:bottom w:val="single" w:sz="8" w:color="CCEEFF"/>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Live Units (End of Period)</w:t>
            </w:r>
          </w:p>
        </w:tc>
        <w:tc>
          <w:tcPr>
            <w:tcW w:w="4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12,200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9,700</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25.8 %</w:t>
            </w:r>
          </w:p>
        </w:tc>
      </w:tr>
      <w:tr>
        <w:trPr>
          <w:trHeight w:val="21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Bookable Nights</w:t>
            </w:r>
          </w:p>
        </w:tc>
        <w:tc>
          <w:tcPr>
            <w:tcW w:w="40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3,995,000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3,051,000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944,000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30.9 %</w:t>
            </w:r>
          </w:p>
        </w:tc>
      </w:tr>
      <w:tr>
        <w:trPr>
          <w:trHeight w:val="38"/>
        </w:trPr>
        <w:tc>
          <w:tcPr>
            <w:tcW w:w="39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Occupied Nights</w:t>
            </w: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3,273,000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2,466,000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807,000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r>
      <w:tr>
        <w:trPr>
          <w:trHeight w:val="25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Portfolio</w:t>
            </w:r>
            <w:r>
              <w:rPr>
                <w:rFonts w:ascii="Times New Roman" w:cs="Times New Roman" w:eastAsia="Times New Roman" w:hAnsi="Times New Roman"/>
                <w:sz w:val="21"/>
                <w:szCs w:val="21"/>
                <w:color w:val="auto"/>
                <w:vertAlign w:val="superscript"/>
              </w:rPr>
              <w:t>(1)</w:t>
            </w:r>
          </w:p>
        </w:tc>
        <w:tc>
          <w:tcPr>
            <w:tcW w:w="400" w:type="dxa"/>
            <w:vAlign w:val="bottom"/>
          </w:tcPr>
          <w:p>
            <w:pPr>
              <w:spacing w:after="0"/>
              <w:rPr>
                <w:sz w:val="22"/>
                <w:szCs w:val="22"/>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16,000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17,600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7"/>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1"/>
                <w:szCs w:val="21"/>
                <w:color w:val="auto"/>
                <w:vertAlign w:val="superscript"/>
              </w:rPr>
              <w:t>(2)</w:t>
            </w: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5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1"/>
                <w:szCs w:val="21"/>
                <w:color w:val="auto"/>
                <w:vertAlign w:val="superscript"/>
              </w:rPr>
              <w:t>(2)</w:t>
            </w: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2"/>
                <w:szCs w:val="22"/>
                <w:color w:val="auto"/>
              </w:rPr>
            </w:pP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22"/>
                <w:szCs w:val="22"/>
                <w:color w:val="auto"/>
              </w:rPr>
            </w:pP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8"/>
        </w:trPr>
        <w:tc>
          <w:tcPr>
            <w:tcW w:w="116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86" w:lineRule="exact"/>
        <w:rPr>
          <w:sz w:val="20"/>
          <w:szCs w:val="20"/>
          <w:color w:val="auto"/>
        </w:rPr>
      </w:pPr>
    </w:p>
    <w:p>
      <w:pPr>
        <w:ind w:left="282" w:hanging="282"/>
        <w:spacing w:after="0"/>
        <w:tabs>
          <w:tab w:leader="none" w:pos="282"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Portfolio consists of Live Units and Contracted Units at the end of the period noted.</w:t>
      </w:r>
    </w:p>
    <w:p>
      <w:pPr>
        <w:spacing w:after="0" w:line="11" w:lineRule="exact"/>
        <w:rPr>
          <w:rFonts w:ascii="Times New Roman" w:cs="Times New Roman" w:eastAsia="Times New Roman" w:hAnsi="Times New Roman"/>
          <w:sz w:val="13"/>
          <w:szCs w:val="13"/>
          <w:color w:val="auto"/>
        </w:rPr>
      </w:pPr>
    </w:p>
    <w:p>
      <w:pPr>
        <w:ind w:left="282" w:hanging="282"/>
        <w:spacing w:after="0"/>
        <w:tabs>
          <w:tab w:leader="none" w:pos="282"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2022 is As Restated.</w:t>
      </w:r>
    </w:p>
    <w:p>
      <w:pPr>
        <w:spacing w:after="0" w:line="2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Live Units</w:t>
      </w:r>
    </w:p>
    <w:p>
      <w:pPr>
        <w:spacing w:after="0" w:line="234" w:lineRule="exact"/>
        <w:rPr>
          <w:sz w:val="20"/>
          <w:szCs w:val="20"/>
          <w:color w:val="auto"/>
        </w:rPr>
      </w:pPr>
    </w:p>
    <w:p>
      <w:pPr>
        <w:jc w:val="both"/>
        <w:ind w:left="2" w:right="20"/>
        <w:spacing w:after="0" w:line="291" w:lineRule="auto"/>
        <w:rPr>
          <w:sz w:val="20"/>
          <w:szCs w:val="20"/>
          <w:color w:val="auto"/>
        </w:rPr>
      </w:pPr>
      <w:r>
        <w:rPr>
          <w:rFonts w:ascii="Times New Roman" w:cs="Times New Roman" w:eastAsia="Times New Roman" w:hAnsi="Times New Roman"/>
          <w:sz w:val="16"/>
          <w:szCs w:val="16"/>
          <w:color w:val="auto"/>
        </w:rPr>
        <w:t>Live Units generate Bookable Nights (as defined below) which generate revenue. Live Units are a key driver of revenue, and a key measure of the scale of our business, which in turn drives our financial performance.</w:t>
      </w:r>
    </w:p>
    <w:p>
      <w:pPr>
        <w:spacing w:after="0" w:line="166"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units that were removed from our portfolio during that same period, which we refer to as dropped units.</w:t>
      </w:r>
    </w:p>
    <w:p>
      <w:pPr>
        <w:spacing w:after="0" w:line="185"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The increase in Live Units year-over-year was driven by our continued focus on converting Contracted Units into Live Units. As of December 31, 2023, our five largest cities (New York City, Mexico City, Dubai, Los Angeles and Philadelphia) accounted for approximately 35.4% of our Live Units, and our 10 largest cities accounted for approximately 56.8% of our Live Units.</w:t>
      </w:r>
    </w:p>
    <w:p>
      <w:pPr>
        <w:spacing w:after="0" w:line="17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Bookable Nights / Occupied Nights</w:t>
      </w:r>
    </w:p>
    <w:p>
      <w:pPr>
        <w:spacing w:after="0" w:line="234"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Bookable Nights represent the total number of nights available for stays across all Live Units. Occupied Nights represent the total number of nights occupied across all Live Units. Occupancy Rate (“OR”) is calculated as Occupied Nights divided by Bookable Nights. Bookable Nights, Occupied Nights, and OR are key drivers of revenue, which in turn drives financial performance.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increase in Bookable Nights and Occupied Nights year-over-year was largely driven by the increase in Live Units.</w:t>
      </w:r>
    </w:p>
    <w:p>
      <w:pPr>
        <w:spacing w:after="0" w:line="2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RevPAR and Average Daily Rate</w:t>
      </w:r>
    </w:p>
    <w:p>
      <w:pPr>
        <w:spacing w:after="0" w:line="234"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RevPAR represents the average revenue earned per available night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Several factors may explain period-to-period RevPAR variances, including:</w:t>
      </w:r>
    </w:p>
    <w:p>
      <w:pPr>
        <w:spacing w:after="0" w:line="232" w:lineRule="exact"/>
        <w:rPr>
          <w:sz w:val="20"/>
          <w:szCs w:val="20"/>
          <w:color w:val="auto"/>
        </w:rPr>
      </w:pPr>
    </w:p>
    <w:p>
      <w:pPr>
        <w:ind w:left="582" w:right="20" w:hanging="288"/>
        <w:spacing w:after="0" w:line="265" w:lineRule="auto"/>
        <w:tabs>
          <w:tab w:leader="none" w:pos="5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Live Units that became live in recent months and have not yet reached mature economics. Typically, new Live Units take several months to achieve mature ADR and OR as buildings stabilize and drive organic bookings. If a period has a significant increase in Live Units, this may reduce the portfolio’s RevPAR.</w:t>
      </w:r>
    </w:p>
    <w:p>
      <w:pPr>
        <w:spacing w:after="0" w:line="1" w:lineRule="exact"/>
        <w:rPr>
          <w:rFonts w:ascii="Times New Roman" w:cs="Times New Roman" w:eastAsia="Times New Roman" w:hAnsi="Times New Roman"/>
          <w:sz w:val="16"/>
          <w:szCs w:val="16"/>
          <w:color w:val="auto"/>
        </w:rPr>
      </w:pPr>
    </w:p>
    <w:p>
      <w:pPr>
        <w:jc w:val="both"/>
        <w:ind w:left="582" w:right="20" w:hanging="288"/>
        <w:spacing w:after="0" w:line="263" w:lineRule="auto"/>
        <w:tabs>
          <w:tab w:leader="none" w:pos="5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the portfolio’s RevPAR.</w:t>
      </w:r>
    </w:p>
    <w:p>
      <w:pPr>
        <w:spacing w:after="0" w:line="200" w:lineRule="exact"/>
        <w:rPr>
          <w:sz w:val="20"/>
          <w:szCs w:val="20"/>
          <w:color w:val="auto"/>
        </w:rPr>
      </w:pPr>
    </w:p>
    <w:p>
      <w:pPr>
        <w:spacing w:after="0" w:line="3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1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580" w:hanging="288"/>
        <w:spacing w:after="0" w:line="262" w:lineRule="auto"/>
        <w:tabs>
          <w:tab w:leader="none" w:pos="57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mix represents the composition of our portfolio between apartment and hotel style units. In general, apartments are higher RevPAR bookings because they typically offer more amenities (e.g., kitchen, in-unit washer/dryer) and have higher square footage compared to hotel units. Therefore, if the product mix shifts towards hotel units, it may reduce the average portfolio-wide RevPAR.</w:t>
      </w:r>
    </w:p>
    <w:p>
      <w:pPr>
        <w:jc w:val="both"/>
        <w:ind w:left="580" w:hanging="288"/>
        <w:spacing w:after="0" w:line="260" w:lineRule="auto"/>
        <w:tabs>
          <w:tab w:leader="none" w:pos="57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Seasonality drives typical period-to-period variances in a particular property’s RevPAR depending upon seasonal factors (e.g., weather patterns, local attractions and events, holidays) as well as property location and type. Based on results prior to the COVID-19 pandemic, RevPAR tends to be lower across our portfolio in the first quarter and fourth quarters of each year due to seasonal factors such as weather and holidays and the market mix and product mix of our portfolio at the time. However, the effect of seasonality will vary as our market mix and product mix continues to evolve.</w:t>
      </w:r>
    </w:p>
    <w:p>
      <w:pPr>
        <w:spacing w:after="0" w:line="19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RevPAR remained flat year-over-year due to a 1.2% increase in Occupancy Rate as a result of our strategy shift targeting higher occupancy, offset by a 2.6% decrease in ADR due to moderate pressure on pricing for our apartment product during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COVID-19 and Macroeconomic Factors on the Business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Our financial results for the first half of 2022 were materially adversely affected by the COVID-19 pandemic, which could adversely impact business operations, results of operations, and liquidity if additional serious variants or resurgences of the virus occur. Additionally, the uncertainty surrounding macroeconomic factors in the U.S. and globally, characterized by inflationary pressures, rising interest rates, significant volatility of global markets and geopolitical conflicts, could have a material adverse effect on our business and could lead to further economic disruption and expose us to greater risk of a potential deceleration or reversal of the current travel market recovery trends.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Reverse Stock Split</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On September 20, 2023, the Company effected the 1-for-20 Reverse Stock Split of the outstanding shares of the Company’s common stock (including special voting common stock). The par value of one share of common stock and one share of special voting stock remained unchanged as a result of the Reverse Stock Split. Refer to Note 1,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xml:space="preserve"> in the notes to our consolidated financial statements included in this Annual Report on Form 10-K for additional details regarding the Reverse Stock Split. All share and per share information within the consolidated financial statements have been retroactively restated to reflect the Reverse Stock Split.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Year Ended December 31, 2023 Compared to Year Ended December 31,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Year ended December 31,</w:t>
            </w:r>
          </w:p>
        </w:tc>
        <w:tc>
          <w:tcPr>
            <w:tcW w:w="740" w:type="dxa"/>
            <w:vAlign w:val="bottom"/>
          </w:tcPr>
          <w:p>
            <w:pPr>
              <w:spacing w:after="0"/>
              <w:rPr>
                <w:sz w:val="18"/>
                <w:szCs w:val="18"/>
                <w:color w:val="auto"/>
              </w:rPr>
            </w:pPr>
          </w:p>
        </w:tc>
      </w:tr>
      <w:tr>
        <w:trPr>
          <w:trHeight w:val="38"/>
        </w:trPr>
        <w:tc>
          <w:tcPr>
            <w:tcW w:w="5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2"/>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3"/>
          </w:tcPr>
          <w:p>
            <w:pPr>
              <w:jc w:val="center"/>
              <w:ind w:left="3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740" w:type="dxa"/>
            <w:vAlign w:val="bottom"/>
          </w:tcPr>
          <w:p>
            <w:pPr>
              <w:spacing w:after="0"/>
              <w:rPr>
                <w:sz w:val="18"/>
                <w:szCs w:val="18"/>
                <w:color w:val="auto"/>
              </w:rPr>
            </w:pPr>
          </w:p>
        </w:tc>
      </w:tr>
      <w:tr>
        <w:trPr>
          <w:trHeight w:val="257"/>
        </w:trPr>
        <w:tc>
          <w:tcPr>
            <w:tcW w:w="5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2023</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Pr>
          <w:p>
            <w:pPr>
              <w:spacing w:after="0"/>
              <w:rPr>
                <w:sz w:val="22"/>
                <w:szCs w:val="22"/>
                <w:color w:val="auto"/>
              </w:rPr>
            </w:pPr>
          </w:p>
        </w:tc>
      </w:tr>
      <w:tr>
        <w:trPr>
          <w:trHeight w:val="38"/>
        </w:trPr>
        <w:tc>
          <w:tcPr>
            <w:tcW w:w="5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602,066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70.5 %</w:t>
            </w:r>
          </w:p>
        </w:tc>
      </w:tr>
      <w:tr>
        <w:trPr>
          <w:trHeight w:val="38"/>
        </w:trPr>
        <w:tc>
          <w:tcPr>
            <w:tcW w:w="5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212,913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r>
      <w:tr>
        <w:trPr>
          <w:trHeight w:val="219"/>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38"/>
        </w:trPr>
        <w:tc>
          <w:tcPr>
            <w:tcW w:w="5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37"/>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19"/>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38"/>
        </w:trPr>
        <w:tc>
          <w:tcPr>
            <w:tcW w:w="5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7"/>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51"/>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56"/>
        </w:trPr>
        <w:tc>
          <w:tcPr>
            <w:tcW w:w="5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880,108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178.7 %</w:t>
            </w:r>
          </w:p>
        </w:tc>
      </w:tr>
      <w:tr>
        <w:trPr>
          <w:trHeight w:val="212"/>
        </w:trPr>
        <w:tc>
          <w:tcPr>
            <w:tcW w:w="58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(278,042)</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(365,899)</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38"/>
        </w:trPr>
        <w:tc>
          <w:tcPr>
            <w:tcW w:w="5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7"/>
        </w:trPr>
        <w:tc>
          <w:tcPr>
            <w:tcW w:w="5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2"/>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(296,601)</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(244,409)</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38"/>
        </w:trPr>
        <w:tc>
          <w:tcPr>
            <w:tcW w:w="5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(295,668)</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219"/>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38"/>
        </w:trPr>
        <w:tc>
          <w:tcPr>
            <w:tcW w:w="5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6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(303,718)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Sonder generates revenues by providing accommodations to its guests. Direct revenue is generated from stays booked through Sonder.com, the Sonder app, or directly with our sales personnel, while indirect revenue is generated from stays booked through OTAs.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19"/>
                <w:szCs w:val="19"/>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20" w:type="dxa"/>
            <w:vAlign w:val="bottom"/>
          </w:tcPr>
          <w:p>
            <w:pPr>
              <w:spacing w:after="0"/>
              <w:rPr>
                <w:sz w:val="19"/>
                <w:szCs w:val="19"/>
                <w:color w:val="auto"/>
              </w:rPr>
            </w:pPr>
          </w:p>
        </w:tc>
      </w:tr>
      <w:tr>
        <w:trPr>
          <w:trHeight w:val="25"/>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2"/>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r>
      <w:tr>
        <w:trPr>
          <w:trHeight w:val="25"/>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increased, primarily due to an increase of 25.8% in Live Units contributing to a 32.7% increase in Occupied Nights.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9"/>
                <w:szCs w:val="19"/>
                <w:color w:val="auto"/>
              </w:rPr>
            </w:pPr>
          </w:p>
        </w:tc>
      </w:tr>
      <w:tr>
        <w:trPr>
          <w:trHeight w:val="25"/>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5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5"/>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5"/>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r>
      <w:tr>
        <w:trPr>
          <w:trHeight w:val="25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49"/>
        </w:trPr>
        <w:tc>
          <w:tcPr>
            <w:tcW w:w="5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880,108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49,231</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3"/>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expenses primarily consists of lease costs to real estate owners for our Live Units, cleaning costs, and payment processing charges. We expect our cost of revenue will continue to increase on an absolute dollar basis for the foreseeable future as we experience growth in bookings and expand our portfolio of properties. Cost of revenue may vary as a percentage of revenue from period-to-period based on the timing and seasonality of bookings. Additionally, our cost of revenue does not necessarily increase at a rate commensurate with the increase in revenue, given that drivers of increases in revenue, such as increases in ADR, do not necessarily require additional costs.</w:t>
      </w:r>
    </w:p>
    <w:p>
      <w:pPr>
        <w:spacing w:after="0" w:line="18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Cost of revenue increased, primarily due to: (i) a $48.4 million increase in rent expense related to leases as a result of a 2,500 unit increase in Live Units; (ii) a $8.3 million increase in cleaning expenses as a result of an increase in the number of Occupied Nights; and (iii) a $5.5 million increase in payment processing fees due to an increase in bookings, driven by solid demand for travel and our Live Unit growth.</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Operations and support expenses are related to guest-facing functions and variable expenses associated with property-level operations, such as customer service and hospitality, depreciation of property and equipment, utilities, costs to open new properties, and the cost of guest-room consumable items and low-cost furnishings. We expect operations and support costs to increase on an absolute dollar basis, but decrease or remain stable on a percentage of revenue basis, for the foreseeable future to the extent that we continue to grow our Live Units.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Operations and support increased, primarily due to: (i) a $19.3 million increase in unit-related expenses due to an increase in Live Units, along with an increase in Occupied Nights; partially offset by (ii) a $12.0 million decrease in certain pre-opening costs primarily due to the timing of costs related to onboarding new units.</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expenses primarily consist of personnel-related expenses for administrative functions, such as legal, finance and accounting, public policy, and human resources. It also includes certain professional services fees, technology expenses, bad debt expense, general corporate and director and officer insurance, and other corporate-level expenses we incur to manage and support our operations. We expect to continue to incur certain general and administrative costs as a result of operating as a public company, including expenses to comply with the rules and regulations of the SEC and Nasdaq, as well as expenses for corporate insurance, director and officer insurance, investor relations, and professional services. Overall, we expect our general and administrative costs will decrease as a percentage of revenue in 2024 as compared to 2023 through cost reductions.</w:t>
      </w:r>
    </w:p>
    <w:p>
      <w:pPr>
        <w:spacing w:after="0" w:line="19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General and administrative decreased, primarily due to: (i) a $12.5 million decrease in legal and professional fees due to audit, consulting, and other professional fees incurred as a result of the Company focusing on identifying more cost-efficient alternatives; (ii) a $6.5 million decrease in taxes due to a decrease in sales tax as a result of reduced tax leakage; and (iii) a $5.9 million decrease in employee compensation cost, due to a decrease in average headcount.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expenses primarily consist of personnel-related expenses and an allocation of our facility expenses incurred in connection with the development of our existing and new services. Our research and development efforts in the short- to mid-term are focused primarily on increasing the functionality and enhancing the ease of use of existing services, and to a lesser extent, adding new features and services. We capitalize the portion of our software development costs that meets the criteria for capitalization. We expect that our research and development expenses will decrease as a percentage of revenue in 2024 as compared to 2023.</w:t>
      </w:r>
    </w:p>
    <w:p>
      <w:pPr>
        <w:spacing w:after="0" w:line="38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Research and development decreased, primarily due to: (i) a $4.5 million decrease in employee compensation expense, driven by a decrease in average headcount; (ii) a $1.1 million decrease in depreciation, primarily due to a decrease in capitalized software costs; and (iii) a $0.6 million decrease in legal and professional fees.</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Sales and marketing expenses primarily consist of service charges for bookings made through OTAs, personnel-related expenses for sales, marketing, advertising costs, and branding. We expect our sales and marketing expense will decrease or remain stable as a percentage of revenue in 2024 as compared to 2023.</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Sales and marketing increased, primarily due to: (i) a $15.9 million increase in channel transaction fees resulting from an increase in revenue booked through OTAs, consistent with total revenue growth; and (ii) a $8.9 million increase in performance marketing expense.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Impairment losses</w:t>
      </w:r>
      <w:r>
        <w:rPr>
          <w:rFonts w:ascii="Times New Roman" w:cs="Times New Roman" w:eastAsia="Times New Roman" w:hAnsi="Times New Roman"/>
          <w:sz w:val="16"/>
          <w:szCs w:val="16"/>
          <w:color w:val="auto"/>
        </w:rPr>
        <w:t>: Impairment loss charges includes impairment of long lived assets.</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Impairment losses decreased, primarily due to improved factors related to the valuation of our operating lease right-of-use (“ROU”) assets, that triggered an impairment charge identified by the Company, relating to both 2023 and 2022.</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Restructuring and other charges consists primarily of employee termination benefits of approximately $2.1 million for the year ended December 31, 2023 as a result of the restructuring announced in March 2023, and approximately $4.0 million for the year ended December 31, 2022 from the restructuring completed in conjunction with the Cash Flow Positive Plan. The entirety of the decrease in restructuring and other charges is due to the difference in amounts recognized for each of the restructurings discussed above.</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February 20, 2024, the Company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 million, primarily related to employee severance and benefits costs, and were recognized and paid in the first quarter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Total non-operating expense (income), net consists primarily of the change in fair value of the Earn Out Liability, SPAC Warrants, and other instruments carried at fair value, realized and unrealized gains and losses on foreign currency transactions and balances, and interest expense related to the term loans and convertible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3140" w:type="dxa"/>
            <w:vAlign w:val="bottom"/>
            <w:gridSpan w:val="6"/>
          </w:tcPr>
          <w:p>
            <w:pPr>
              <w:ind w:left="68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Pr>
          <w:p>
            <w:pPr>
              <w:spacing w:after="0"/>
              <w:rPr>
                <w:sz w:val="19"/>
                <w:szCs w:val="19"/>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23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04"/>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940" w:type="dxa"/>
            <w:vAlign w:val="bottom"/>
          </w:tcPr>
          <w:p>
            <w:pPr>
              <w:spacing w:after="0"/>
              <w:rPr>
                <w:sz w:val="17"/>
                <w:szCs w:val="17"/>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9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37"/>
        </w:trPr>
        <w:tc>
          <w:tcPr>
            <w:tcW w:w="4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140,049</w:t>
            </w: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color w:val="auto"/>
        </w:rPr>
        <w:t>: Interest expense, net increased primarily due to interest expense recognized on the Company’s Delayed Draw Notes.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this line item resulted primarily from a decrease in our stock price period-over-period.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this line item resulted from a decrease in our stock price period-over-period.</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share-settled redemption feature and gain on conversion of convertible notes</w:t>
      </w:r>
      <w:r>
        <w:rPr>
          <w:rFonts w:ascii="Times New Roman" w:cs="Times New Roman" w:eastAsia="Times New Roman" w:hAnsi="Times New Roman"/>
          <w:sz w:val="16"/>
          <w:szCs w:val="16"/>
          <w:color w:val="auto"/>
        </w:rPr>
        <w:t>. This change is a result of fair value adjustments due to the decrease in our stock price period-over-period and as a result of the conversion of the Company’s convertible notes.</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u w:val="single" w:color="auto"/>
          <w:color w:val="auto"/>
        </w:rPr>
        <w:t>Other expense (income), net</w:t>
      </w:r>
      <w:r>
        <w:rPr>
          <w:rFonts w:ascii="Times New Roman" w:cs="Times New Roman" w:eastAsia="Times New Roman" w:hAnsi="Times New Roman"/>
          <w:sz w:val="16"/>
          <w:szCs w:val="16"/>
          <w:color w:val="auto"/>
        </w:rPr>
        <w:t>. The change in other (income) expense, net is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and 2022, except for Canada, we have recorded a full valuation allowance against our deferred tax assets due to our history of losses.</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are subject to income taxes in the United States and foreign jurisdictions in which we do business. Foreign jurisdictions have different statutory tax rates than those in the United States. Additionally, certain of our foreign earnings may also be taxable in the United States.</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We recognize the effect of income tax positions only if those positions are more likely than not of being sustained. Recognized income tax positions are measured as the largest amount that is greater than 50% likely of being realized. Changes in recognition or measurement are reflected in the period in which the change in judgment occurs. We recognize interest and penalties, if any, related to income tax matters as a component of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Year ended December 31,</w:t>
            </w: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5"/>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(benefit) provision for income taxes change is primarily due to taxes related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Year Ended December 31, 2022 Compared to Year Ended December 31,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11"/>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ind w:left="2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5"/>
          </w:tcPr>
          <w:p>
            <w:pPr>
              <w:jc w:val="center"/>
              <w:ind w:left="45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2021</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234,145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70.5 %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202,323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143,083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28.4 %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105,671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19,091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23,490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losses</w:t>
            </w: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color w:val="auto"/>
                <w:w w:val="87"/>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6"/>
        </w:trPr>
        <w:tc>
          <w:tcPr>
            <w:tcW w:w="49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178.7 %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493,658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(365,899)</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(78.7)%</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(259,513)</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(26.1)%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34,200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(244,409)</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(52.6)%</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(293,713)</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(52.7)%</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(293,955)</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(51.5)%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(292,322)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left="25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color w:val="auto"/>
              </w:rPr>
              <w:t>2022</w:t>
            </w:r>
          </w:p>
        </w:tc>
        <w:tc>
          <w:tcPr>
            <w:tcW w:w="1280" w:type="dxa"/>
            <w:vAlign w:val="bottom"/>
            <w:gridSpan w:val="6"/>
          </w:tcPr>
          <w:p>
            <w:pPr>
              <w:jc w:val="right"/>
              <w:ind w:right="158"/>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680" w:type="dxa"/>
            <w:vAlign w:val="bottom"/>
            <w:gridSpan w:val="3"/>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234,145</w:t>
            </w: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98.6 %</w:t>
            </w:r>
          </w:p>
        </w:tc>
        <w:tc>
          <w:tcPr>
            <w:tcW w:w="0" w:type="dxa"/>
            <w:vAlign w:val="bottom"/>
          </w:tcPr>
          <w:p>
            <w:pPr>
              <w:spacing w:after="0"/>
              <w:rPr>
                <w:sz w:val="1"/>
                <w:szCs w:val="1"/>
                <w:color w:val="auto"/>
              </w:rPr>
            </w:pPr>
          </w:p>
        </w:tc>
      </w:tr>
      <w:tr>
        <w:trPr>
          <w:trHeight w:val="25"/>
        </w:trPr>
        <w:tc>
          <w:tcPr>
            <w:tcW w:w="4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Revenue increased, primarily due to a 34.5% increase in RevPAR, driven by continued travel market recovery and our strategy targeting higher occupancy, along with an increase of 27.6% in Live Units contributing to a 78.7% increase in Occupied Nights.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9"/>
                <w:szCs w:val="19"/>
                <w:color w:val="auto"/>
              </w:rPr>
            </w:pPr>
          </w:p>
        </w:tc>
      </w:tr>
      <w:tr>
        <w:trPr>
          <w:trHeight w:val="25"/>
        </w:trPr>
        <w:tc>
          <w:tcPr>
            <w:tcW w:w="5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125,284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61.9 %</w:t>
            </w:r>
          </w:p>
        </w:tc>
      </w:tr>
      <w:tr>
        <w:trPr>
          <w:trHeight w:val="232"/>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5"/>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r>
      <w:tr>
        <w:trPr>
          <w:trHeight w:val="232"/>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r>
      <w:tr>
        <w:trPr>
          <w:trHeight w:val="25"/>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124.2 %</w:t>
            </w:r>
          </w:p>
        </w:tc>
      </w:tr>
      <w:tr>
        <w:trPr>
          <w:trHeight w:val="251"/>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9"/>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493,658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337,219</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68.3 %</w:t>
            </w:r>
          </w:p>
        </w:tc>
      </w:tr>
      <w:tr>
        <w:trPr>
          <w:trHeight w:val="23"/>
        </w:trPr>
        <w:tc>
          <w:tcPr>
            <w:tcW w:w="5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$94.4 million increase in rent expense related to leases as a result of a 2,100 unit increase in Live Units; (ii) a $20.0 million increase in cleaning expenses as a result of an increase in the number of Occupied Nights; and (iii) a $8.2 million increase in payment processing fees due to an increase in bookings, driven by continued travel recovery and our Live Unit growth.</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Operations and support increased, primarily due to: (i) a $23.1 million increase in unit-related expenses due to an increase in Live Units, along with an increase in Occupied Nights; (ii) a $22.8 million increase in employee compensation expense, inclusive of stock compensation expense, due to an increase in average headcount; (iii) a $6.5 million increase in onboarding costs as a result of our focus on converting Contracted Units into Live Units; and (iv) a $5.7 million increase in customer service costs, driven by an increase in Occupied Nights.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increased, primarily due to: (i) a $6.7 million increase in legal and professional fees due to ongoing routine legal and professional costs; (ii) a $6.2 million increase in tax expense related to transaction (sales and value-added tax) taxes, largely driven by an increase in bookings due to continued travel recovery during the period and our Live Unit growth; (iii) a $5.1 million increase in employee compensation expense, inclusive of stock compensation expense, due to an increase in average headcount; and (iv) a $4.9 million increase in insurance expense due to additional costs incurred in connection with becoming a public company .</w:t>
      </w:r>
    </w:p>
    <w:p>
      <w:pPr>
        <w:spacing w:after="0" w:line="38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increased, primarily due to: (i) a $5.8 million increase in employee compensation expense, inclusive of stock compensation expense, driven by an increase in average headcount; (ii) a $1.6 million increase in computer software expense related to the growth of our business; and (iii) a $1.3 million increase in professional fees related to the growth of our business and in connection with becoming a public company.</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Sales and marketing increased, primarily due to: (i) a $24.3 million increase in channel transaction fees resulting from an increase in revenue booked through third-party OTAs, consistent with total revenue growth; and (ii) a $3.4 million increase in compensation expense, inclusive of stock compensation expense, driven by an increase in average headcount.</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Impairment losses</w:t>
      </w:r>
      <w:r>
        <w:rPr>
          <w:rFonts w:ascii="Times New Roman" w:cs="Times New Roman" w:eastAsia="Times New Roman" w:hAnsi="Times New Roman"/>
          <w:sz w:val="16"/>
          <w:szCs w:val="16"/>
          <w:color w:val="auto"/>
        </w:rPr>
        <w:t>: Impairment losses increased, primarily due to factors related to the valuation of our operating lease right-of-use (“ROU”) assets, that triggered an impairment charge identified by the Company, relating to 2022.</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xml:space="preserve"> Restructuring and other charges consists primarily of employee termination benefits of approximately $4.0 million for the year ended December 31, 2022 as part of our Cash Flow Positive Plan announced in the second quarter of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Total non-operating expense (income), net consists primarily of the change in fair value of the Earn Out Liability, SPAC Warrants, and other instruments carried at fair value, realized and unrealized gains and losses on foreign currency transactions and balances, and interest expense related to the term loans and convertible debt.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4"/>
          </w:tcPr>
          <w:p>
            <w:pPr>
              <w:jc w:val="right"/>
              <w:ind w:right="598"/>
              <w:spacing w:after="0"/>
              <w:rPr>
                <w:sz w:val="20"/>
                <w:szCs w:val="20"/>
                <w:color w:val="auto"/>
              </w:rPr>
            </w:pPr>
            <w:r>
              <w:rPr>
                <w:rFonts w:ascii="Times New Roman" w:cs="Times New Roman" w:eastAsia="Times New Roman" w:hAnsi="Times New Roman"/>
                <w:sz w:val="16"/>
                <w:szCs w:val="16"/>
                <w:color w:val="auto"/>
              </w:rPr>
              <w:t>Year ended December 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20" w:type="dxa"/>
            <w:vAlign w:val="bottom"/>
          </w:tcPr>
          <w:p>
            <w:pPr>
              <w:spacing w:after="0"/>
              <w:rPr>
                <w:sz w:val="18"/>
                <w:szCs w:val="18"/>
                <w:color w:val="auto"/>
              </w:rPr>
            </w:pPr>
          </w:p>
        </w:tc>
        <w:tc>
          <w:tcPr>
            <w:tcW w:w="1260" w:type="dxa"/>
            <w:vAlign w:val="bottom"/>
          </w:tcPr>
          <w:p>
            <w:pPr>
              <w:jc w:val="right"/>
              <w:ind w:right="27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24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-800100</wp:posOffset>
            </wp:positionV>
            <wp:extent cx="71450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5020" cy="1631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-356870</wp:posOffset>
            </wp:positionV>
            <wp:extent cx="71450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5020" cy="1631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-1134745</wp:posOffset>
            </wp:positionV>
            <wp:extent cx="7145020" cy="1708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6"/>
          <w:szCs w:val="16"/>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33655</wp:posOffset>
            </wp:positionV>
            <wp:extent cx="201358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13585" cy="7620"/>
                    </a:xfrm>
                    <a:prstGeom prst="rect">
                      <a:avLst/>
                    </a:prstGeom>
                    <a:noFill/>
                  </pic:spPr>
                </pic:pic>
              </a:graphicData>
            </a:graphic>
          </wp:anchor>
        </w:drawing>
      </w:r>
    </w:p>
    <w:p>
      <w:pPr>
        <w:spacing w:after="0" w:line="298"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200"/>
        <w:spacing w:after="0"/>
        <w:tabs>
          <w:tab w:leader="none" w:pos="1900" w:val="left"/>
        </w:tabs>
        <w:rPr>
          <w:sz w:val="20"/>
          <w:szCs w:val="20"/>
          <w:color w:val="auto"/>
        </w:rPr>
      </w:pPr>
      <w:r>
        <w:rPr>
          <w:rFonts w:ascii="Times New Roman" w:cs="Times New Roman" w:eastAsia="Times New Roman" w:hAnsi="Times New Roman"/>
          <w:sz w:val="16"/>
          <w:szCs w:val="16"/>
          <w:color w:val="auto"/>
        </w:rPr>
        <w:t>(22,585)</w:t>
      </w:r>
      <w:r>
        <w:rPr>
          <w:sz w:val="20"/>
          <w:szCs w:val="20"/>
          <w:color w:val="auto"/>
        </w:rPr>
        <w:tab/>
      </w:r>
      <w:r>
        <w:rPr>
          <w:rFonts w:ascii="Times New Roman" w:cs="Times New Roman" w:eastAsia="Times New Roman" w:hAnsi="Times New Roman"/>
          <w:sz w:val="16"/>
          <w:szCs w:val="16"/>
          <w:color w:val="auto"/>
        </w:rPr>
        <w:t>(51.2)%</w:t>
      </w:r>
    </w:p>
    <w:p>
      <w:pPr>
        <w:spacing w:after="0" w:line="73" w:lineRule="exact"/>
        <w:rPr>
          <w:sz w:val="20"/>
          <w:szCs w:val="20"/>
          <w:color w:val="auto"/>
        </w:rPr>
      </w:pPr>
    </w:p>
    <w:p>
      <w:pPr>
        <w:ind w:left="200"/>
        <w:spacing w:after="0"/>
        <w:tabs>
          <w:tab w:leader="none" w:pos="1820" w:val="left"/>
        </w:tabs>
        <w:rPr>
          <w:sz w:val="20"/>
          <w:szCs w:val="20"/>
          <w:color w:val="auto"/>
        </w:rPr>
      </w:pPr>
      <w:r>
        <w:rPr>
          <w:rFonts w:ascii="Times New Roman" w:cs="Times New Roman" w:eastAsia="Times New Roman" w:hAnsi="Times New Roman"/>
          <w:sz w:val="16"/>
          <w:szCs w:val="16"/>
          <w:color w:val="auto"/>
        </w:rPr>
        <w:t>(25,190)</w:t>
      </w:r>
      <w:r>
        <w:rPr>
          <w:sz w:val="20"/>
          <w:szCs w:val="20"/>
          <w:color w:val="auto"/>
        </w:rPr>
        <w:tab/>
      </w:r>
      <w:r>
        <w:rPr>
          <w:rFonts w:ascii="Times New Roman" w:cs="Times New Roman" w:eastAsia="Times New Roman" w:hAnsi="Times New Roman"/>
          <w:sz w:val="16"/>
          <w:szCs w:val="16"/>
          <w:color w:val="auto"/>
        </w:rPr>
        <w:t>(100.0)%</w:t>
      </w:r>
    </w:p>
    <w:p>
      <w:pPr>
        <w:spacing w:after="0" w:line="73" w:lineRule="exact"/>
        <w:rPr>
          <w:sz w:val="20"/>
          <w:szCs w:val="20"/>
          <w:color w:val="auto"/>
        </w:rPr>
      </w:pPr>
    </w:p>
    <w:p>
      <w:pPr>
        <w:ind w:left="200"/>
        <w:spacing w:after="0"/>
        <w:tabs>
          <w:tab w:leader="none" w:pos="1820" w:val="left"/>
        </w:tabs>
        <w:rPr>
          <w:sz w:val="20"/>
          <w:szCs w:val="20"/>
          <w:color w:val="auto"/>
        </w:rPr>
      </w:pPr>
      <w:r>
        <w:rPr>
          <w:rFonts w:ascii="Times New Roman" w:cs="Times New Roman" w:eastAsia="Times New Roman" w:hAnsi="Times New Roman"/>
          <w:sz w:val="16"/>
          <w:szCs w:val="16"/>
          <w:color w:val="auto"/>
        </w:rPr>
        <w:t>(95,700)</w:t>
      </w:r>
      <w:r>
        <w:rPr>
          <w:sz w:val="20"/>
          <w:szCs w:val="20"/>
          <w:color w:val="auto"/>
        </w:rPr>
        <w:tab/>
      </w:r>
      <w:r>
        <w:rPr>
          <w:rFonts w:ascii="Times New Roman" w:cs="Times New Roman" w:eastAsia="Times New Roman" w:hAnsi="Times New Roman"/>
          <w:sz w:val="16"/>
          <w:szCs w:val="16"/>
          <w:color w:val="auto"/>
        </w:rPr>
        <w:t>(100.0)%</w:t>
      </w:r>
    </w:p>
    <w:p>
      <w:pPr>
        <w:spacing w:after="0" w:line="257" w:lineRule="exact"/>
        <w:rPr>
          <w:sz w:val="20"/>
          <w:szCs w:val="20"/>
          <w:color w:val="auto"/>
        </w:rPr>
      </w:pPr>
    </w:p>
    <w:p>
      <w:pPr>
        <w:ind w:left="200"/>
        <w:spacing w:after="0"/>
        <w:tabs>
          <w:tab w:leader="none" w:pos="1820" w:val="left"/>
        </w:tabs>
        <w:rPr>
          <w:sz w:val="20"/>
          <w:szCs w:val="20"/>
          <w:color w:val="auto"/>
        </w:rPr>
      </w:pPr>
      <w:r>
        <w:rPr>
          <w:rFonts w:ascii="Times New Roman" w:cs="Times New Roman" w:eastAsia="Times New Roman" w:hAnsi="Times New Roman"/>
          <w:sz w:val="16"/>
          <w:szCs w:val="16"/>
          <w:color w:val="auto"/>
        </w:rPr>
        <w:t>(29,512)</w:t>
      </w:r>
      <w:r>
        <w:rPr>
          <w:sz w:val="20"/>
          <w:szCs w:val="20"/>
          <w:color w:val="auto"/>
        </w:rPr>
        <w:tab/>
      </w:r>
      <w:r>
        <w:rPr>
          <w:rFonts w:ascii="Times New Roman" w:cs="Times New Roman" w:eastAsia="Times New Roman" w:hAnsi="Times New Roman"/>
          <w:sz w:val="16"/>
          <w:szCs w:val="16"/>
          <w:color w:val="auto"/>
        </w:rPr>
        <w:t>(100.0)%</w:t>
      </w:r>
    </w:p>
    <w:p>
      <w:pPr>
        <w:spacing w:after="0" w:line="73" w:lineRule="exact"/>
        <w:rPr>
          <w:sz w:val="20"/>
          <w:szCs w:val="20"/>
          <w:color w:val="auto"/>
        </w:rPr>
      </w:pPr>
    </w:p>
    <w:p>
      <w:pPr>
        <w:jc w:val="both"/>
        <w:ind w:left="260"/>
        <w:spacing w:after="0"/>
        <w:tabs>
          <w:tab w:leader="none" w:pos="1820" w:val="left"/>
        </w:tabs>
        <w:rPr>
          <w:sz w:val="20"/>
          <w:szCs w:val="20"/>
          <w:color w:val="auto"/>
        </w:rPr>
      </w:pPr>
      <w:r>
        <w:rPr>
          <w:rFonts w:ascii="Times New Roman" w:cs="Times New Roman" w:eastAsia="Times New Roman" w:hAnsi="Times New Roman"/>
          <w:sz w:val="16"/>
          <w:szCs w:val="16"/>
          <w:color w:val="auto"/>
        </w:rPr>
        <w:t>17,297</w:t>
      </w:r>
      <w:r>
        <w:rPr>
          <w:sz w:val="20"/>
          <w:szCs w:val="20"/>
          <w:color w:val="auto"/>
        </w:rPr>
        <w:tab/>
      </w:r>
      <w:r>
        <w:rPr>
          <w:rFonts w:ascii="Times New Roman" w:cs="Times New Roman" w:eastAsia="Times New Roman" w:hAnsi="Times New Roman"/>
          <w:sz w:val="16"/>
          <w:szCs w:val="16"/>
          <w:color w:val="auto"/>
        </w:rPr>
        <w:t>(174.9)%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33655</wp:posOffset>
            </wp:positionV>
            <wp:extent cx="201358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13585" cy="7620"/>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16"/>
          <w:szCs w:val="16"/>
          <w:color w:val="auto"/>
        </w:rPr>
        <w:t>(155,690)</w:t>
      </w:r>
      <w:r>
        <w:rPr>
          <w:sz w:val="20"/>
          <w:szCs w:val="20"/>
          <w:color w:val="auto"/>
        </w:rPr>
        <w:tab/>
      </w:r>
      <w:r>
        <w:rPr>
          <w:rFonts w:ascii="Times New Roman" w:cs="Times New Roman" w:eastAsia="Times New Roman" w:hAnsi="Times New Roman"/>
          <w:sz w:val="16"/>
          <w:szCs w:val="16"/>
          <w:color w:val="auto"/>
        </w:rPr>
        <w:t>(455.2)%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33655</wp:posOffset>
            </wp:positionV>
            <wp:extent cx="2013585"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13585" cy="3111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8180" w:space="600"/>
            <w:col w:w="2480"/>
          </w:cols>
          <w:pgMar w:left="320" w:top="123" w:right="319" w:bottom="1440" w:gutter="0" w:footer="0" w:header="0"/>
        </w:sectPr>
      </w:pPr>
    </w:p>
    <w:p>
      <w:pPr>
        <w:spacing w:after="0" w:line="9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color w:val="auto"/>
        </w:rPr>
        <w:t>: Interest expense, net decreased due to the conversion of the Convertible Notes to equity in January 2022, offset by interest expense recognized in connection with the payoff of the term loan in January 2022 and interest expense on the Delayed Draw Notes issued in January 2022.</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the SPAC Warrants is impacted by the initial recognition of, and subsequent fair value adjustments to, the SPAC Warrants. The decrease in the fair value of this line item resulted from a decrease in our stock price period-over-period and is recognized as a credit on the consolidated statements of operations and comprehensive loss, thereby decreasing our net loss.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color w:val="auto"/>
        </w:rPr>
        <w:t>: The change in the fair value of the Earn Out Liability is impacted by the initial recognition of, and subsequent fair value adjustments to, the Earn Out Liability. The decrease in the fair value of this line item resulted from a decrease in our stock price period-over-period and is recognized as a credit on the consolidated statements of operations and comprehensive loss, thereby decreasing our net loss.</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share-settled redemption feature and gain on conversion of convertible notes</w:t>
      </w:r>
      <w:r>
        <w:rPr>
          <w:rFonts w:ascii="Times New Roman" w:cs="Times New Roman" w:eastAsia="Times New Roman" w:hAnsi="Times New Roman"/>
          <w:sz w:val="16"/>
          <w:szCs w:val="16"/>
          <w:color w:val="auto"/>
        </w:rPr>
        <w:t>: The change in fair value of the share-settled redemption feature related to the Convertible Notes resulted from an increase in other income as a result of the conversion of the Convertible Notes.</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Other expense (income), net:</w:t>
      </w:r>
      <w:r>
        <w:rPr>
          <w:rFonts w:ascii="Times New Roman" w:cs="Times New Roman" w:eastAsia="Times New Roman" w:hAnsi="Times New Roman"/>
          <w:sz w:val="16"/>
          <w:szCs w:val="16"/>
          <w:color w:val="auto"/>
        </w:rPr>
        <w:t xml:space="preserve"> Other expense (income), net increased primarily due to a decrease in the fair value adjustments for preferred stock warrant liabilities that were converted to equity as a result of the consummation of the Business Combination and fluctuations in foreign currency which impacted the remeasurement of foreign balances to reporting currency.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and 2021, we have recorded a full valuation allowance against our deferred tax assets due to our history of losses.</w:t>
      </w:r>
    </w:p>
    <w:p>
      <w:pPr>
        <w:spacing w:after="0" w:line="23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We recognize the effect of income tax positions only if those positions are more likely than not of being sustained. Recognized income tax positions are measured as the largest amount that is greater than 50% likely of being realized. Changes in recognition or measurement are reflected in the period in which the change in judgment occurs. We recognize interest and penalties, if any, related to income tax matters as a component of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700" w:type="dxa"/>
            <w:vAlign w:val="bottom"/>
            <w:gridSpan w:val="4"/>
          </w:tcPr>
          <w:p>
            <w:pPr>
              <w:jc w:val="right"/>
              <w:ind w:right="258"/>
              <w:spacing w:after="0"/>
              <w:rPr>
                <w:sz w:val="20"/>
                <w:szCs w:val="20"/>
                <w:color w:val="auto"/>
              </w:rPr>
            </w:pPr>
            <w:r>
              <w:rPr>
                <w:rFonts w:ascii="Times New Roman" w:cs="Times New Roman" w:eastAsia="Times New Roman" w:hAnsi="Times New Roman"/>
                <w:sz w:val="16"/>
                <w:szCs w:val="16"/>
                <w:color w:val="auto"/>
              </w:rPr>
              <w:t>Year ended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tcPr>
          <w:p>
            <w:pPr>
              <w:spacing w:after="0"/>
              <w:rPr>
                <w:sz w:val="18"/>
                <w:szCs w:val="18"/>
                <w:color w:val="auto"/>
              </w:rPr>
            </w:pPr>
          </w:p>
        </w:tc>
        <w:tc>
          <w:tcPr>
            <w:tcW w:w="1140" w:type="dxa"/>
            <w:vAlign w:val="bottom"/>
          </w:tcPr>
          <w:p>
            <w:pPr>
              <w:jc w:val="center"/>
              <w:ind w:left="25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2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80" w:type="dxa"/>
            <w:vAlign w:val="bottom"/>
          </w:tcPr>
          <w:p>
            <w:pPr>
              <w:spacing w:after="0"/>
              <w:rPr>
                <w:sz w:val="21"/>
                <w:szCs w:val="21"/>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622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157.0 %</w:t>
            </w:r>
          </w:p>
        </w:tc>
      </w:tr>
      <w:tr>
        <w:trPr>
          <w:trHeight w:val="25"/>
        </w:trPr>
        <w:tc>
          <w:tcPr>
            <w:tcW w:w="4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change is primarily due to taxes related to operations in foreign jurisdictions.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Interim Period Results of Operations (As Restated)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Six and Nine Months Periods of Year Ended December 31, 2023 compared to periods within the Year Ended December 31, 2022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Three months ended March 31, 2023 (As Restated) compared to three months ended March 31, 2022 (As Restated)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119,503</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81,945</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91.1 %</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53,510</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58.2 %</w:t>
            </w: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44.2 %</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8"/>
        </w:trPr>
        <w:tc>
          <w:tcPr>
            <w:tcW w:w="5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201,973</w:t>
            </w:r>
          </w:p>
        </w:tc>
        <w:tc>
          <w:tcPr>
            <w:tcW w:w="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169.0 %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175,966</w:t>
            </w:r>
          </w:p>
        </w:tc>
        <w:tc>
          <w:tcPr>
            <w:tcW w:w="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214.7 %</w:t>
            </w:r>
          </w:p>
        </w:tc>
        <w:tc>
          <w:tcPr>
            <w:tcW w:w="0" w:type="dxa"/>
            <w:vAlign w:val="bottom"/>
          </w:tcPr>
          <w:p>
            <w:pPr>
              <w:spacing w:after="0"/>
              <w:rPr>
                <w:sz w:val="1"/>
                <w:szCs w:val="1"/>
                <w:color w:val="auto"/>
              </w:rPr>
            </w:pPr>
          </w:p>
        </w:tc>
      </w:tr>
      <w:tr>
        <w:trPr>
          <w:trHeight w:val="38"/>
        </w:trPr>
        <w:tc>
          <w:tcPr>
            <w:tcW w:w="57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(82,470)</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(94,021)</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9"/>
        </w:trPr>
        <w:tc>
          <w:tcPr>
            <w:tcW w:w="5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0" w:type="dxa"/>
            <w:vAlign w:val="bottom"/>
          </w:tcPr>
          <w:p>
            <w:pPr>
              <w:spacing w:after="0"/>
              <w:rPr>
                <w:sz w:val="1"/>
                <w:szCs w:val="1"/>
                <w:color w:val="auto"/>
              </w:rPr>
            </w:pPr>
          </w:p>
        </w:tc>
      </w:tr>
      <w:tr>
        <w:trPr>
          <w:trHeight w:val="38"/>
        </w:trPr>
        <w:tc>
          <w:tcPr>
            <w:tcW w:w="57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(81,809)</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8"/>
        </w:trPr>
        <w:tc>
          <w:tcPr>
            <w:tcW w:w="57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(81,865)</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(85,279)</w:t>
            </w:r>
          </w:p>
        </w:tc>
        <w:tc>
          <w:tcPr>
            <w:tcW w:w="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8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45.8 %</w:t>
            </w:r>
          </w:p>
        </w:tc>
      </w:tr>
      <w:tr>
        <w:trPr>
          <w:trHeight w:val="25"/>
        </w:trPr>
        <w:tc>
          <w:tcPr>
            <w:tcW w:w="4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Revenue increased, primarily due to a 14.5% increase in RevPAR, driven by continued travel market recovery, along with a 35.1% increase in Live Units contributing to a 43.5% increase in Occupied Nights.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40" w:type="dxa"/>
            <w:vAlign w:val="bottom"/>
          </w:tcPr>
          <w:p>
            <w:pPr>
              <w:spacing w:after="0"/>
              <w:rPr>
                <w:sz w:val="18"/>
                <w:szCs w:val="18"/>
                <w:color w:val="auto"/>
              </w:rPr>
            </w:pPr>
          </w:p>
        </w:tc>
        <w:tc>
          <w:tcPr>
            <w:tcW w:w="148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Change</w:t>
            </w:r>
          </w:p>
        </w:tc>
        <w:tc>
          <w:tcPr>
            <w:tcW w:w="960" w:type="dxa"/>
            <w:vAlign w:val="bottom"/>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2"/>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17,158</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51"/>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80"/>
        </w:trPr>
        <w:tc>
          <w:tcPr>
            <w:tcW w:w="54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175,966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$11.2 million increase in rent expense due to an increase in Live Units; (ii) a $3.3 million increase in cleaning expenses as a result of an increase in the number of checkouts; and (iii) a $1.6 million increase in credit card fees due to an increase in bookings.</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Operations and support expenses increased, primarily due to: (i) an $8.5 million increase in unit-related expenses such as utilities, property insurance, and property security services as a result of an increase in Live Units; and (ii) a net $2.1 million increase in employee compensation expense, inclusive of stock compensation expense, due to vesting of stock options during the period; partially offset by (iii) a $3.0 million decrease in certain pre-opening costs due primarily to the timing of costs related to onboarding new units in first quarter 2022 compared to first quarter 2023.</w:t>
      </w:r>
    </w:p>
    <w:p>
      <w:pPr>
        <w:spacing w:after="0" w:line="18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expenses decreased, primarily due to: (i) a $3.3 million decrease in taxes related to a decrease in non-claimable value added tax and property taxes; and (ii) a $3.1 million decrease in non-recurring legal and professional fees due to audit, consulting, and other professional fees incurred during the three months ended March 31, 2022 in connection with Sonder becoming a public company; partially offset by (iii) a net $0.5 million increase in employee compensation cost, inclusive of stock compensation expense, due to vesting of stock options during the period; and (iv) a $1.0 million increase in depreciation expense related to an increase in our fixed asset balance.</w:t>
      </w:r>
    </w:p>
    <w:p>
      <w:pPr>
        <w:spacing w:after="0" w:line="18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expenses decreased, primarily due to (i) a net $0.8 million decrease in employee compensation expense, inclusive of stock compensation expense, driven by a decrease in average headcount, and (ii) a $0.7 million decrease in consultant spend.</w:t>
      </w:r>
    </w:p>
    <w:p>
      <w:pPr>
        <w:spacing w:after="0" w:line="16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w:t>
      </w:r>
      <w:r>
        <w:rPr>
          <w:rFonts w:ascii="Times New Roman" w:cs="Times New Roman" w:eastAsia="Times New Roman" w:hAnsi="Times New Roman"/>
          <w:sz w:val="16"/>
          <w:szCs w:val="16"/>
          <w:color w:val="auto"/>
        </w:rPr>
        <w:t>ales and marketing expenses increased, primarily due to: (i) a $4.4 million increase in channel transaction fees resulting from an increase in revenue booked through OTAs, consistent with total revenue growth; and (ii) a $1.3 million increase in performance marketing expense.</w:t>
      </w:r>
    </w:p>
    <w:p>
      <w:pPr>
        <w:spacing w:after="0" w:line="16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Restructuring and other charges consists primarily of employee termination benefits of approximately $2.1 million for the three months ended March 31, 2023 as a result of the restructuring announced in March 2023. The entirety of the increase in restructuring and other charges is due to the restructuring discussed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0"/>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Total Non-operating (Income) Expense, Net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56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The following table sets forth our total interest expense, net and other expense (income), net (in thousands, except percentages):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460" w:type="dxa"/>
            <w:vAlign w:val="bottom"/>
          </w:tcPr>
          <w:p>
            <w:pPr>
              <w:spacing w:after="0"/>
              <w:rPr>
                <w:sz w:val="21"/>
                <w:szCs w:val="21"/>
                <w:color w:val="auto"/>
              </w:rPr>
            </w:pPr>
          </w:p>
        </w:tc>
        <w:tc>
          <w:tcPr>
            <w:tcW w:w="16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32"/>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5"/>
        </w:trPr>
        <w:tc>
          <w:tcPr>
            <w:tcW w:w="4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71,679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240" w:type="dxa"/>
            <w:vAlign w:val="bottom"/>
          </w:tcPr>
          <w:p>
            <w:pPr>
              <w:spacing w:after="0"/>
              <w:rPr>
                <w:sz w:val="17"/>
                <w:szCs w:val="17"/>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1"/>
        </w:trPr>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0" w:type="dxa"/>
            <w:vAlign w:val="bottom"/>
          </w:tcPr>
          <w:p>
            <w:pPr>
              <w:spacing w:after="0"/>
              <w:rPr>
                <w:sz w:val="1"/>
                <w:szCs w:val="1"/>
                <w:color w:val="auto"/>
              </w:rPr>
            </w:pPr>
          </w:p>
        </w:tc>
      </w:tr>
      <w:tr>
        <w:trPr>
          <w:trHeight w:val="249"/>
        </w:trPr>
        <w:tc>
          <w:tcPr>
            <w:tcW w:w="49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(107,199)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106,538</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net decreased due to the conversion of our convertible promissory notes (the “Convertible Notes”) to equity.</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spacing w:after="0" w:line="16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spacing w:after="0" w:line="16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Other expense (income), net</w:t>
      </w:r>
      <w:r>
        <w:rPr>
          <w:rFonts w:ascii="Times New Roman" w:cs="Times New Roman" w:eastAsia="Times New Roman" w:hAnsi="Times New Roman"/>
          <w:sz w:val="16"/>
          <w:szCs w:val="16"/>
          <w:color w:val="auto"/>
        </w:rPr>
        <w:t>. Other expense, net decreased,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2023 and 2022, we have recorded a full valuation allowance against our deferred tax assets due to our history of losses.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740" w:type="dxa"/>
            <w:vAlign w:val="bottom"/>
            <w:gridSpan w:val="4"/>
          </w:tcPr>
          <w:p>
            <w:pPr>
              <w:jc w:val="right"/>
              <w:ind w:right="118"/>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tcPr>
          <w:p>
            <w:pPr>
              <w:spacing w:after="0"/>
              <w:rPr>
                <w:sz w:val="18"/>
                <w:szCs w:val="18"/>
                <w:color w:val="auto"/>
              </w:rPr>
            </w:pPr>
          </w:p>
        </w:tc>
        <w:tc>
          <w:tcPr>
            <w:tcW w:w="1180" w:type="dxa"/>
            <w:vAlign w:val="bottom"/>
          </w:tcPr>
          <w:p>
            <w:pPr>
              <w:jc w:val="center"/>
              <w:ind w:left="2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ind w:left="19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80" w:type="dxa"/>
            <w:vAlign w:val="bottom"/>
          </w:tcPr>
          <w:p>
            <w:pPr>
              <w:spacing w:after="0"/>
              <w:rPr>
                <w:sz w:val="21"/>
                <w:szCs w:val="21"/>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80.6 %</w:t>
            </w:r>
          </w:p>
        </w:tc>
      </w:tr>
      <w:tr>
        <w:trPr>
          <w:trHeight w:val="25"/>
        </w:trPr>
        <w:tc>
          <w:tcPr>
            <w:tcW w:w="4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increased, primarily as a result of taxes related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Three months ended June 30, 2023 (As Restated) compared to three months ended June 30, 2022 (As Restated)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gridSpan w:val="10"/>
          </w:tcPr>
          <w:p>
            <w:pPr>
              <w:ind w:left="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5"/>
          </w:tcPr>
          <w:p>
            <w:pPr>
              <w:jc w:val="center"/>
              <w:ind w:left="3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4"/>
          </w:tcPr>
          <w:p>
            <w:pPr>
              <w:jc w:val="right"/>
              <w:ind w:right="158"/>
              <w:spacing w:after="0"/>
              <w:rPr>
                <w:sz w:val="20"/>
                <w:szCs w:val="20"/>
                <w:color w:val="auto"/>
              </w:rPr>
            </w:pPr>
            <w:r>
              <w:rPr>
                <w:rFonts w:ascii="Times New Roman" w:cs="Times New Roman" w:eastAsia="Times New Roman" w:hAnsi="Times New Roman"/>
                <w:sz w:val="16"/>
                <w:szCs w:val="16"/>
                <w:color w:val="auto"/>
              </w:rPr>
              <w:t>2023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157,403</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121,138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94,760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88,035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50,540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53,195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29,918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30,481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18,231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12,808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198,989</w:t>
            </w: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126.4 %</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196,640</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(75,502)</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(20,975)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(54,527)</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(54,644)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(3,381)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5,085</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(47,565)</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(49,559)</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27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157,403</w:t>
            </w:r>
          </w:p>
        </w:tc>
        <w:tc>
          <w:tcPr>
            <w:tcW w:w="5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29.9 %</w:t>
            </w:r>
          </w:p>
        </w:tc>
        <w:tc>
          <w:tcPr>
            <w:tcW w:w="0" w:type="dxa"/>
            <w:vAlign w:val="bottom"/>
          </w:tcPr>
          <w:p>
            <w:pPr>
              <w:spacing w:after="0"/>
              <w:rPr>
                <w:sz w:val="1"/>
                <w:szCs w:val="1"/>
                <w:color w:val="auto"/>
              </w:rPr>
            </w:pPr>
          </w:p>
        </w:tc>
      </w:tr>
      <w:tr>
        <w:trPr>
          <w:trHeight w:val="25"/>
        </w:trPr>
        <w:tc>
          <w:tcPr>
            <w:tcW w:w="4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increased, primarily due to a 32.1% increase in Live Units contributing to a 31.9% increase in Occupied Nights, on a slight decline in ADR.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360" w:type="dxa"/>
            <w:vAlign w:val="bottom"/>
          </w:tcPr>
          <w:p>
            <w:pPr>
              <w:spacing w:after="0"/>
              <w:rPr>
                <w:sz w:val="18"/>
                <w:szCs w:val="18"/>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r>
      <w:tr>
        <w:trPr>
          <w:trHeight w:val="251"/>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80"/>
        </w:trPr>
        <w:tc>
          <w:tcPr>
            <w:tcW w:w="5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198,989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196,640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$3.3 million increase in rent expense due to an increase in Live Units; (ii) a $1.7 million increase in cleaning expenses as a result of an increase in the number of checkouts; and (iii) a $1.2 million increase in credit card fees due to an increase in bookings.</w:t>
      </w:r>
    </w:p>
    <w:p>
      <w:pPr>
        <w:spacing w:after="0" w:line="18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Operations and support expenses decreased, primarily due to: (i) a $3.1 million decrease in indirect taxes due to decreases in customs as a result of decreased FF&amp;E spend; (ii) a $2.9 million decrease in pre-opening costs due primarily to the timing of costs related to onboarding new units in the second quarter of 2022 compared to the second quarter of 2023; and (iii) a $1.1 million decrease in non-recurring legal and professional fees due to audit, consulting, and other professional fees incurred during the three months ended June 30, 2022 in connection with Sonder becoming a public company, partially offset by (iv) a $4.7 million increase in unit-related expenses such as utilities, property insurance, and property security services as a result of an increase in Live Units.</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expenses decreased, primarily due to: (i) a $2.4 million decrease in non-recurring legal and professional fees due to audit, consulting, and other professional fees incurred during the three months ended June 30, 2022 in connection with Sonder becoming a public company; and (ii) a $0.6 million decrease in in employee compensation cost, due to a decrease in average headcount partially offset by (iii) a $2.2 million increase in taxes due to increased property tax assessments; and (iv) a $0.8 increase in other general and administrative costs.</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expenses decreased, primarily due to: (i) a $1.4 million decrease in employee compensation expense, driven by a decrease in average headcount; (ii) a $0.5 million decrease in professional fees due to audit, consulting, and other professional fees incurred during the three months ended June 30, 2022 in connection with Sonder becoming a public company; and (iii) a $0.3 million decrease in computer software expense.</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Sales and marketing expenses increased, primarily due to: (i) a $3.6 million increase in channel transaction fees resulting from an increase in revenue booked through OTAs, consistent with total revenue growth; and (ii) a $1.9 million increase in performance marketing expense.</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Restructuring and other charges consists primarily of employee termination benefits of approximately $4.0 million for the three months ended June 30, 2022 as a result of the restructuring completed in conjunction with the Cash Flow Positive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47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5"/>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5"/>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net increased, primarily due to interest expense recognized on the Company’s Delayed Draw Term Loan.</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spacing w:after="0" w:line="16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u w:val="single" w:color="auto"/>
          <w:color w:val="auto"/>
        </w:rPr>
        <w:t>Other (income) expense, net</w:t>
      </w:r>
      <w:r>
        <w:rPr>
          <w:rFonts w:ascii="Times New Roman" w:cs="Times New Roman" w:eastAsia="Times New Roman" w:hAnsi="Times New Roman"/>
          <w:sz w:val="16"/>
          <w:szCs w:val="16"/>
          <w:color w:val="auto"/>
        </w:rPr>
        <w:t>. The change in other (income) expense, net is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2023 and 2022, we have recorded a full valuation allowance against our deferred tax assets due to our history of losses.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700" w:type="dxa"/>
            <w:vAlign w:val="bottom"/>
            <w:gridSpan w:val="4"/>
          </w:tcPr>
          <w:p>
            <w:pPr>
              <w:ind w:left="56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tcPr>
          <w:p>
            <w:pPr>
              <w:spacing w:after="0"/>
              <w:rPr>
                <w:sz w:val="18"/>
                <w:szCs w:val="18"/>
                <w:color w:val="auto"/>
              </w:rPr>
            </w:pP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2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80" w:type="dxa"/>
            <w:vAlign w:val="bottom"/>
          </w:tcPr>
          <w:p>
            <w:pPr>
              <w:spacing w:after="0"/>
              <w:rPr>
                <w:sz w:val="21"/>
                <w:szCs w:val="21"/>
                <w:color w:val="auto"/>
              </w:rPr>
            </w:pPr>
          </w:p>
        </w:tc>
        <w:tc>
          <w:tcPr>
            <w:tcW w:w="1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5"/>
        </w:trPr>
        <w:tc>
          <w:tcPr>
            <w:tcW w:w="4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decreased, primarily as a result of taxes related to operations in foreign jurisdictions.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Six months ended June 30, 2023 (As Restated) compared to six months ended June 30, 2022 (As Restated)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10"/>
          </w:tcPr>
          <w:p>
            <w:pPr>
              <w:ind w:left="60"/>
              <w:spacing w:after="0"/>
              <w:rPr>
                <w:sz w:val="20"/>
                <w:szCs w:val="20"/>
                <w:color w:val="auto"/>
              </w:rPr>
            </w:pPr>
            <w:r>
              <w:rPr>
                <w:rFonts w:ascii="Times New Roman" w:cs="Times New Roman" w:eastAsia="Times New Roman" w:hAnsi="Times New Roman"/>
                <w:sz w:val="16"/>
                <w:szCs w:val="16"/>
                <w:color w:val="auto"/>
              </w:rPr>
              <w:t>Six months ended June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4"/>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ind w:left="1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5"/>
          </w:tcPr>
          <w:p>
            <w:pPr>
              <w:jc w:val="center"/>
              <w:ind w:left="3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276,906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203,083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186,573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162,690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104,050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100,897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62,389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66,676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11,945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15,713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33,898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22,597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400,962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144.8 %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372,606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(124,056)</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(169,523)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(128,174)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(41,349)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(41,497)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(6,795)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7,084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(132,844)</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(34,413)</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1"/>
        </w:trPr>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7"/>
          </w:tcPr>
          <w:p>
            <w:pPr>
              <w:ind w:left="420"/>
              <w:spacing w:after="0"/>
              <w:rPr>
                <w:sz w:val="20"/>
                <w:szCs w:val="20"/>
                <w:color w:val="auto"/>
              </w:rPr>
            </w:pPr>
            <w:r>
              <w:rPr>
                <w:rFonts w:ascii="Times New Roman" w:cs="Times New Roman" w:eastAsia="Times New Roman" w:hAnsi="Times New Roman"/>
                <w:sz w:val="16"/>
                <w:szCs w:val="16"/>
                <w:color w:val="auto"/>
              </w:rPr>
              <w:t>Six months ended June 30,</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5"/>
          </w:tcPr>
          <w:p>
            <w:pPr>
              <w:ind w:left="3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38"/>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21"/>
                <w:szCs w:val="21"/>
                <w:color w:val="auto"/>
              </w:rPr>
            </w:pPr>
          </w:p>
        </w:tc>
        <w:tc>
          <w:tcPr>
            <w:tcW w:w="1080" w:type="dxa"/>
            <w:vAlign w:val="bottom"/>
            <w:gridSpan w:val="5"/>
          </w:tcPr>
          <w:p>
            <w:pPr>
              <w:jc w:val="right"/>
              <w:ind w:right="18"/>
              <w:spacing w:after="0"/>
              <w:rPr>
                <w:sz w:val="20"/>
                <w:szCs w:val="20"/>
                <w:color w:val="auto"/>
              </w:rPr>
            </w:pPr>
            <w:r>
              <w:rPr>
                <w:rFonts w:ascii="Times New Roman" w:cs="Times New Roman" w:eastAsia="Times New Roman" w:hAnsi="Times New Roman"/>
                <w:sz w:val="16"/>
                <w:szCs w:val="16"/>
                <w:color w:val="auto"/>
              </w:rPr>
              <w:t>2022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276,906</w:t>
            </w:r>
          </w:p>
        </w:tc>
        <w:tc>
          <w:tcPr>
            <w:tcW w:w="5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203,083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36.4 %</w:t>
            </w:r>
          </w:p>
        </w:tc>
        <w:tc>
          <w:tcPr>
            <w:tcW w:w="0" w:type="dxa"/>
            <w:vAlign w:val="bottom"/>
          </w:tcPr>
          <w:p>
            <w:pPr>
              <w:spacing w:after="0"/>
              <w:rPr>
                <w:sz w:val="1"/>
                <w:szCs w:val="1"/>
                <w:color w:val="auto"/>
              </w:rPr>
            </w:pPr>
          </w:p>
        </w:tc>
      </w:tr>
      <w:tr>
        <w:trPr>
          <w:trHeight w:val="25"/>
        </w:trPr>
        <w:tc>
          <w:tcPr>
            <w:tcW w:w="4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increased primarily due to a 4.9% increase in RevPAR, along with a 32.1% increase in Live Units contributing to a 37.2% increase in Occupied Nights.</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Six months ended June 30,</w:t>
            </w:r>
          </w:p>
        </w:tc>
        <w:tc>
          <w:tcPr>
            <w:tcW w:w="380" w:type="dxa"/>
            <w:vAlign w:val="bottom"/>
          </w:tcPr>
          <w:p>
            <w:pPr>
              <w:spacing w:after="0"/>
              <w:rPr>
                <w:sz w:val="18"/>
                <w:szCs w:val="18"/>
                <w:color w:val="auto"/>
              </w:rPr>
            </w:pPr>
          </w:p>
        </w:tc>
        <w:tc>
          <w:tcPr>
            <w:tcW w:w="154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186,573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162,690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5"/>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51"/>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80"/>
        </w:trPr>
        <w:tc>
          <w:tcPr>
            <w:tcW w:w="5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400,962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372,606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$14.4 million increase in rent expense due to an increase in Live Units; (ii) a $5.0 million increase in cleaning expenses as a result of an increase in the number of checkouts; and (iii) a $2.8 million increase in credit card fees due to an increase in bookings.</w:t>
      </w:r>
    </w:p>
    <w:p>
      <w:pPr>
        <w:spacing w:after="0" w:line="18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Operations and support expenses increased, primarily due to: (i) an $13.2 million increase in unit-related expenses such as utilities, property insurance, and property security services as a result of an increase in Live Units; (ii) a net $2.0 million increase in employee compensation expense, inclusive of stock compensation expense, due to vesting of stock options during the period; partially offset by (iii) a $6.0 million decrease in certain pre-opening costs due primarily to the timing of costs related to onboarding new units in second quarter 2022 compared to second quarter 2023; (iv) a $5.2 million decrease in indirect taxes due to decreases in customs as a result of decreased FF&amp;E spend; and (v) a $1.2 million decrease in non-recurring legal and professional fees due to audit, consulting, and other professional fees incurred during the six months ended June 30, 2022 in connection with Sonder becoming a public company.</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expenses decreased, primarily due to: (i) a $5.6 million decrease in non-recurring legal and professional fees due to audit, consulting, and other professional fees incurred during the six months ended June 30, 2022 in connection with Sonder becoming a public company; (ii) a $1.2 million decrease in certain taxes and (iii) offset by net increases of approximately $4.1 million comprised of increases in the areas of location acquisition cost, facilities, depreciation, bad debt and other expenses.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expenses decreased, primarily due to a net $2.2 million decrease in employee compensation expense, inclusive of stock compensation expense, driven by a decrease in average headcount and a $1.2 million decrease in consultant spend.</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Sales and marketing expenses increased, primarily due to: (i) an $8.0 million increase in channel transaction fees resulting from an increase in revenue booked through OTAs, consistent with total revenue growth; and (ii) a $3.2 million increase in performance marketing expense.</w:t>
      </w:r>
    </w:p>
    <w:p>
      <w:pPr>
        <w:spacing w:after="0" w:line="16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Restructuring and other charges consists primarily of employee termination benefits of approximately $2.1 million for the six months ended June 30, 2023 as a result of the restructuring announced in March 2023, and approximately $4.0 million for the six months ended June 30, 2022 from the restructuring completed in conjunction with the Cash Flow Positive Plan. The entirety of the decrease in restructuring and other charges is due to the difference in amounts recognized for each of the restructurings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Six months ended June 30,</w:t>
            </w: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2"/>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4"/>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240" w:type="dxa"/>
            <w:vAlign w:val="bottom"/>
          </w:tcPr>
          <w:p>
            <w:pPr>
              <w:spacing w:after="0"/>
              <w:rPr>
                <w:sz w:val="17"/>
                <w:szCs w:val="17"/>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1"/>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4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(128,174)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130,115</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net decreased due to the conversion of our convertible promissory notes to equity.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this line item resulted primarily from a decrease in our stock price period-over-period.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this line item resulted from a decrease in our stock price period-over-period.</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share-settled redemption feature and gain on conversion of convertible notes</w:t>
      </w:r>
      <w:r>
        <w:rPr>
          <w:rFonts w:ascii="Times New Roman" w:cs="Times New Roman" w:eastAsia="Times New Roman" w:hAnsi="Times New Roman"/>
          <w:sz w:val="16"/>
          <w:szCs w:val="16"/>
          <w:color w:val="auto"/>
        </w:rPr>
        <w:t>. This change is a result of fair value adjustments due to the decrease in our stock price period-over-period and as a result of the conversion of the Company’s convertible notes.</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u w:val="single" w:color="auto"/>
          <w:color w:val="auto"/>
        </w:rPr>
        <w:t>Other expense (income), net</w:t>
      </w:r>
      <w:r>
        <w:rPr>
          <w:rFonts w:ascii="Times New Roman" w:cs="Times New Roman" w:eastAsia="Times New Roman" w:hAnsi="Times New Roman"/>
          <w:sz w:val="16"/>
          <w:szCs w:val="16"/>
          <w:color w:val="auto"/>
        </w:rPr>
        <w:t>. The change in other (income) expense, net is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700" w:type="dxa"/>
            <w:vAlign w:val="bottom"/>
            <w:gridSpan w:val="4"/>
          </w:tcPr>
          <w:p>
            <w:pPr>
              <w:jc w:val="right"/>
              <w:ind w:right="218"/>
              <w:spacing w:after="0"/>
              <w:rPr>
                <w:sz w:val="20"/>
                <w:szCs w:val="20"/>
                <w:color w:val="auto"/>
              </w:rPr>
            </w:pPr>
            <w:r>
              <w:rPr>
                <w:rFonts w:ascii="Times New Roman" w:cs="Times New Roman" w:eastAsia="Times New Roman" w:hAnsi="Times New Roman"/>
                <w:sz w:val="16"/>
                <w:szCs w:val="16"/>
                <w:color w:val="auto"/>
              </w:rPr>
              <w:t>Six months ended June 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980" w:type="dxa"/>
            <w:vAlign w:val="bottom"/>
          </w:tcPr>
          <w:p>
            <w:pPr>
              <w:spacing w:after="0"/>
              <w:rPr>
                <w:sz w:val="18"/>
                <w:szCs w:val="18"/>
                <w:color w:val="auto"/>
              </w:rPr>
            </w:pPr>
          </w:p>
        </w:tc>
        <w:tc>
          <w:tcPr>
            <w:tcW w:w="1180" w:type="dxa"/>
            <w:vAlign w:val="bottom"/>
          </w:tcPr>
          <w:p>
            <w:pPr>
              <w:jc w:val="center"/>
              <w:ind w:left="2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2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980" w:type="dxa"/>
            <w:vAlign w:val="bottom"/>
          </w:tcPr>
          <w:p>
            <w:pPr>
              <w:spacing w:after="0"/>
              <w:rPr>
                <w:sz w:val="21"/>
                <w:szCs w:val="21"/>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80" w:type="dxa"/>
            <w:vAlign w:val="bottom"/>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5"/>
        </w:trPr>
        <w:tc>
          <w:tcPr>
            <w:tcW w:w="4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decreased, primarily as a result of taxes related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Three months ended September 30, 2023 (As Restated) compared to three months ended September 30, 2022 (As Restated)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11"/>
          </w:tcPr>
          <w:p>
            <w:pPr>
              <w:ind w:left="2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jc w:val="right"/>
              <w:ind w:right="47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5"/>
          </w:tcPr>
          <w:p>
            <w:pPr>
              <w:jc w:val="center"/>
              <w:ind w:left="33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5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126,598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83,185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50,376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53,015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31,245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6,936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13,412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losses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4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6"/>
        </w:trPr>
        <w:tc>
          <w:tcPr>
            <w:tcW w:w="45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187,793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(50,841)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11,510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(57,555)</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(72,705)</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(57,630)</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(73,121)</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4,833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(68,288)</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7"/>
          </w:tcPr>
          <w:p>
            <w:pPr>
              <w:jc w:val="right"/>
              <w:ind w:right="478"/>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r>
        <w:trPr>
          <w:trHeight w:val="25"/>
        </w:trPr>
        <w:tc>
          <w:tcPr>
            <w:tcW w:w="4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Revenue increased, primarily due to a 31.1% increase in Live Units contributing to a 31.3% increase in Occupied Nights, on a slight decline in ADR as a result of broader travel industry trends, product mix between hotels and apartments, geographic mix, cohort mix and the impact of corporate sales and pricing strategies.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60" w:type="dxa"/>
            <w:vAlign w:val="bottom"/>
          </w:tcPr>
          <w:p>
            <w:pPr>
              <w:spacing w:after="0"/>
              <w:rPr>
                <w:sz w:val="18"/>
                <w:szCs w:val="18"/>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8"/>
                <w:szCs w:val="18"/>
                <w:color w:val="auto"/>
              </w:rPr>
            </w:pPr>
          </w:p>
        </w:tc>
      </w:tr>
      <w:tr>
        <w:trPr>
          <w:trHeight w:val="25"/>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20,189</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5"/>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5"/>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r>
      <w:tr>
        <w:trPr>
          <w:trHeight w:val="251"/>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5"/>
        </w:trPr>
        <w:tc>
          <w:tcPr>
            <w:tcW w:w="4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23,944</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$15.6 million increase in rent expense due to an increase in Live Units; (ii) a $1.7 million increase in cleaning expenses as a result of an increase in the number of checkouts; and (iii) a $2.2 million increase in credit card fees due to an increase in bookings.</w:t>
      </w:r>
    </w:p>
    <w:p>
      <w:pPr>
        <w:spacing w:after="0" w:line="18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The decrease in operations and support was primarily due to: (i) a $3.8 million decrease in pre-opening costs due primarily to the timing of costs related to onboarding new units in the third quarter 2023 compared to the third quarter 2022; (ii) a $2.4 million decrease in facilities costs, primarily due to decreases in warehouse and other facility rent; (iii) a $2.1 million decrease in certain taxes; (iv) and a $1.0 million decrease in non-recurring legal and professional fees due to consulting and other professional fees incurred as a result of the Company focusing on maintaining only those services with a clear and beneficial business need or identifying more cost-efficient alternatives; partially offset by (v) a $5.3 million increase in unit-related expenses such as utilities, property insurance, and property security services as a result of an increase in Live Units; and (vi) a $1.1 million increase in other operation expenses.</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decreased, primarily due to: (i) a $3.1 million decrease in non-recurring legal and professional fees due to audit, consulting, and other professional fees incurred as a result of the Company focusing on maintaining only those services with a clear and beneficial business need or identifying more cost-efficient alternatives; partially offset by (ii) a $2.3 million increase in unit related expenses such as utilities, property insurance, and property security services as a result of an increase in Live Units.</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decreased, primarily due to: (i) a $1.1 million decrease in employee compensation expense, driven by a decrease in average headcount; (ii) a $0.3 million decrease in depreciation, primarily due to a decrease in capitalized software costs; and (iii) a $0.2 million decrease in computer software expense.</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The increase in sales and marketing was primarily due to: (i) a $4.0 million increase in channel transaction fees resulting from an increase in revenue booked through OTAs, consistent with total revenue growth; and (ii) a $3.4 million increase in performance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5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580" w:type="dxa"/>
            <w:vAlign w:val="bottom"/>
          </w:tcPr>
          <w:p>
            <w:pPr>
              <w:spacing w:after="0"/>
              <w:rPr>
                <w:sz w:val="21"/>
                <w:szCs w:val="21"/>
                <w:color w:val="auto"/>
              </w:rPr>
            </w:pPr>
          </w:p>
        </w:tc>
        <w:tc>
          <w:tcPr>
            <w:tcW w:w="12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2023</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40" w:type="dxa"/>
            <w:vAlign w:val="bottom"/>
            <w:tcBorders>
              <w:bottom w:val="single" w:sz="8" w:color="CCEEFF"/>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6,423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56.2 %</w:t>
            </w: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5"/>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5"/>
        </w:trPr>
        <w:tc>
          <w:tcPr>
            <w:tcW w:w="45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4"/>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124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6,714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net increased, primarily due to interest expense recognized on the Company’s Delayed Draw Term Loan.</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spacing w:after="0" w:line="16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spacing w:after="0" w:line="1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u w:val="single" w:color="auto"/>
          <w:color w:val="auto"/>
        </w:rPr>
        <w:t>Other (income) expense, net</w:t>
      </w:r>
      <w:r>
        <w:rPr>
          <w:rFonts w:ascii="Times New Roman" w:cs="Times New Roman" w:eastAsia="Times New Roman" w:hAnsi="Times New Roman"/>
          <w:sz w:val="16"/>
          <w:szCs w:val="16"/>
          <w:color w:val="auto"/>
        </w:rPr>
        <w:t>. The change in other (income) expense, net is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2023 and 2022, we have recorded a full valuation allowance against our deferred tax assets due to our history of losses.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040" w:type="dxa"/>
            <w:vAlign w:val="bottom"/>
            <w:gridSpan w:val="4"/>
          </w:tcPr>
          <w:p>
            <w:pPr>
              <w:jc w:val="right"/>
              <w:ind w:right="78"/>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580" w:type="dxa"/>
            <w:vAlign w:val="bottom"/>
          </w:tcPr>
          <w:p>
            <w:pPr>
              <w:spacing w:after="0"/>
              <w:rPr>
                <w:sz w:val="18"/>
                <w:szCs w:val="18"/>
                <w:color w:val="auto"/>
              </w:rPr>
            </w:pPr>
          </w:p>
        </w:tc>
        <w:tc>
          <w:tcPr>
            <w:tcW w:w="1340" w:type="dxa"/>
            <w:vAlign w:val="bottom"/>
          </w:tcPr>
          <w:p>
            <w:pPr>
              <w:jc w:val="center"/>
              <w:ind w:left="25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left="29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580" w:type="dxa"/>
            <w:vAlign w:val="bottom"/>
          </w:tcPr>
          <w:p>
            <w:pPr>
              <w:spacing w:after="0"/>
              <w:rPr>
                <w:sz w:val="21"/>
                <w:szCs w:val="21"/>
                <w:color w:val="auto"/>
              </w:rPr>
            </w:pPr>
          </w:p>
        </w:tc>
        <w:tc>
          <w:tcPr>
            <w:tcW w:w="13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2023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5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40" w:type="dxa"/>
            <w:vAlign w:val="bottom"/>
            <w:shd w:val="clear" w:color="auto" w:fill="CCEEFF"/>
          </w:tcPr>
          <w:p>
            <w:pPr>
              <w:jc w:val="right"/>
              <w:ind w:right="1158"/>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5"/>
        </w:trPr>
        <w:tc>
          <w:tcPr>
            <w:tcW w:w="4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decreased, primarily as a result of taxes related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Nine months ended September 30, 2023 (As Restated) compared to nine months ended September 30, 2022 (As Restated)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as a percentage of revenue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jc w:val="center"/>
              <w:ind w:right="1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5"/>
          </w:tcPr>
          <w:p>
            <w:pPr>
              <w:jc w:val="center"/>
              <w:ind w:left="61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5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329,681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289,947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66.2 %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245,875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153,912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92,937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97,921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3.9 %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22,649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36,009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losses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0.2 %</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0.5 %</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612,699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139.9 %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560,399</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(174,897)</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(230,718)</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2.0 %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(116,664)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(114,054)</w:t>
            </w: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(183,679)</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(114,618)</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11,916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5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(102,702)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sets forth our revenue (in thousands, except percentages):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7"/>
          </w:tcPr>
          <w:p>
            <w:pPr>
              <w:jc w:val="right"/>
              <w:ind w:right="498"/>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19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2023</w:t>
            </w:r>
          </w:p>
        </w:tc>
        <w:tc>
          <w:tcPr>
            <w:tcW w:w="5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437,802</w:t>
            </w:r>
          </w:p>
        </w:tc>
        <w:tc>
          <w:tcPr>
            <w:tcW w:w="7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329,681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32.8 %</w:t>
            </w:r>
          </w:p>
        </w:tc>
        <w:tc>
          <w:tcPr>
            <w:tcW w:w="0" w:type="dxa"/>
            <w:vAlign w:val="bottom"/>
          </w:tcPr>
          <w:p>
            <w:pPr>
              <w:spacing w:after="0"/>
              <w:rPr>
                <w:sz w:val="1"/>
                <w:szCs w:val="1"/>
                <w:color w:val="auto"/>
              </w:rPr>
            </w:pPr>
          </w:p>
        </w:tc>
      </w:tr>
      <w:tr>
        <w:trPr>
          <w:trHeight w:val="25"/>
        </w:trPr>
        <w:tc>
          <w:tcPr>
            <w:tcW w:w="4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increased primarily due to 31.1% increase in Live Units contributing to a 35.0% increase in Occupied Nights.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and Operating Expenses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costs and operating expenses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360" w:type="dxa"/>
            <w:vAlign w:val="bottom"/>
          </w:tcPr>
          <w:p>
            <w:pPr>
              <w:spacing w:after="0"/>
              <w:rPr>
                <w:sz w:val="18"/>
                <w:szCs w:val="18"/>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Change</w:t>
            </w:r>
          </w:p>
        </w:tc>
        <w:tc>
          <w:tcPr>
            <w:tcW w:w="1020" w:type="dxa"/>
            <w:vAlign w:val="bottom"/>
          </w:tcPr>
          <w:p>
            <w:pPr>
              <w:spacing w:after="0"/>
              <w:rPr>
                <w:sz w:val="18"/>
                <w:szCs w:val="18"/>
                <w:color w:val="auto"/>
              </w:rPr>
            </w:pPr>
          </w:p>
        </w:tc>
      </w:tr>
      <w:tr>
        <w:trPr>
          <w:trHeight w:val="25"/>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2"/>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5"/>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289,947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44,072</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5"/>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5"/>
        </w:trPr>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52.4 %</w:t>
            </w:r>
          </w:p>
        </w:tc>
      </w:tr>
      <w:tr>
        <w:trPr>
          <w:trHeight w:val="251"/>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57"/>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2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55"/>
        </w:trPr>
        <w:tc>
          <w:tcPr>
            <w:tcW w:w="4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612,699</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560,399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52,300</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Cost of Revenue (excluding depreciation and amortization)</w:t>
      </w:r>
      <w:r>
        <w:rPr>
          <w:rFonts w:ascii="Times New Roman" w:cs="Times New Roman" w:eastAsia="Times New Roman" w:hAnsi="Times New Roman"/>
          <w:sz w:val="16"/>
          <w:szCs w:val="16"/>
          <w:color w:val="auto"/>
        </w:rPr>
        <w:t>: Cost of revenue increased primarily due to: (i) a $30.0 million increase in rent expense due to an increase in Live Units; (ii) a $6.7 million increase in cleaning expenses as a result of an increase in the number of checkouts; and (iii) a $4.9 million increase in credit card fees due to an increase in bookings.</w:t>
      </w:r>
    </w:p>
    <w:p>
      <w:pPr>
        <w:spacing w:after="0" w:line="18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u w:val="single" w:color="auto"/>
          <w:color w:val="auto"/>
        </w:rPr>
        <w:t>Operations and support</w:t>
      </w:r>
      <w:r>
        <w:rPr>
          <w:rFonts w:ascii="Times New Roman" w:cs="Times New Roman" w:eastAsia="Times New Roman" w:hAnsi="Times New Roman"/>
          <w:sz w:val="16"/>
          <w:szCs w:val="16"/>
          <w:color w:val="auto"/>
        </w:rPr>
        <w:t>: The increase in operations and support was primarily due to: (i) a $12.3 million increase in unit-related expenses such as utilities, property insurance, and property security services as a result of an increase in Live Units, and partially offset by (ii) a $9.8 million decrease in certain pre-opening costs due primarily to the timing of costs related to onboarding new units in the third quarter 2023 compared to the third quarter 2022, and (iii) a $2.1 million decrease in legal and professional fees.</w:t>
      </w:r>
    </w:p>
    <w:p>
      <w:pPr>
        <w:spacing w:after="0" w:line="38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General and administrative</w:t>
      </w:r>
      <w:r>
        <w:rPr>
          <w:rFonts w:ascii="Times New Roman" w:cs="Times New Roman" w:eastAsia="Times New Roman" w:hAnsi="Times New Roman"/>
          <w:sz w:val="16"/>
          <w:szCs w:val="16"/>
          <w:color w:val="auto"/>
        </w:rPr>
        <w:t>: General and administrative expenses decreased, primarily due to: (i) a $8.7 million decrease in non-recurring legal and professional fees due to audit, consulting, and other professional fees as a result of the Company focusing on maintaining only those services with a clear and beneficial business need or identifying more cost-efficient alternatives; partially offset by (ii) a $3.8 million increase to unit related costs, depreciation and other general and administrative costs.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u w:val="single" w:color="auto"/>
          <w:color w:val="auto"/>
        </w:rPr>
        <w:t>Research and development</w:t>
      </w:r>
      <w:r>
        <w:rPr>
          <w:rFonts w:ascii="Times New Roman" w:cs="Times New Roman" w:eastAsia="Times New Roman" w:hAnsi="Times New Roman"/>
          <w:sz w:val="16"/>
          <w:szCs w:val="16"/>
          <w:color w:val="auto"/>
        </w:rPr>
        <w:t>: Research and development decreased, primarily due to: (i) a net $3.3 million decrease in employee compensation expense, driven by a decrease in average headcount; a (ii) $0.7 million decrease in depreciation, primarily due to a decrease in capitalized software costs; and (iii) a $0.7 million decrease in consultant spend.</w:t>
      </w:r>
    </w:p>
    <w:p>
      <w:pPr>
        <w:spacing w:after="0" w:line="373"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Sales and marketing</w:t>
      </w:r>
      <w:r>
        <w:rPr>
          <w:rFonts w:ascii="Times New Roman" w:cs="Times New Roman" w:eastAsia="Times New Roman" w:hAnsi="Times New Roman"/>
          <w:sz w:val="16"/>
          <w:szCs w:val="16"/>
          <w:color w:val="auto"/>
        </w:rPr>
        <w:t>: The increase in sales and marketing was primarily due to: (i) an $12.0 million increase in channel transaction fees resulting from an increase in revenue booked through OTAs, consistent with total revenue growth; and (ii) a $6.6 million increase in performance marketing expense.</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u w:val="single" w:color="auto"/>
          <w:color w:val="auto"/>
        </w:rPr>
        <w:t>Restructuring and other charges</w:t>
      </w:r>
      <w:r>
        <w:rPr>
          <w:rFonts w:ascii="Times New Roman" w:cs="Times New Roman" w:eastAsia="Times New Roman" w:hAnsi="Times New Roman"/>
          <w:sz w:val="16"/>
          <w:szCs w:val="16"/>
          <w:color w:val="auto"/>
        </w:rPr>
        <w:t>: Restructuring and other charges consists primarily of employee termination benefits of approximately $2.1 million for the nine months ended September 30, 2023 as a result of the restructuring announced in March 2023, and approximately $4.0 million for the nine months ended September 30, 2022 from the restructuring completed in conjunction with the Cash Flow Positive Plan. The entirety of the decrease in restructuring and other charges is due to the difference in amounts recognized for each of the restructurings discussed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Non-operating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non-operating expense (income), net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400" w:type="dxa"/>
            <w:vAlign w:val="bottom"/>
          </w:tcPr>
          <w:p>
            <w:pPr>
              <w:spacing w:after="0"/>
              <w:rPr>
                <w:sz w:val="18"/>
                <w:szCs w:val="18"/>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59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16,696</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280" w:type="dxa"/>
            <w:vAlign w:val="bottom"/>
          </w:tcPr>
          <w:p>
            <w:pPr>
              <w:spacing w:after="0"/>
              <w:rPr>
                <w:sz w:val="17"/>
                <w:szCs w:val="17"/>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2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49"/>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(116,664)</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125,319</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Interest expense, net increased primarily due to interest expense recognized on the Company’s Delayed Draw Term Loan.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SPAC Warrants</w:t>
      </w:r>
      <w:r>
        <w:rPr>
          <w:rFonts w:ascii="Times New Roman" w:cs="Times New Roman" w:eastAsia="Times New Roman" w:hAnsi="Times New Roman"/>
          <w:sz w:val="16"/>
          <w:szCs w:val="16"/>
          <w:color w:val="auto"/>
        </w:rPr>
        <w:t>. The change in the fair value of this line item resulted primarily from a decrease in our stock price period-over-period.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Change in fair value of Earn Out Liability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change in the fair value of this line item resulted from a decrease in our stock price period-over-period.</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u w:val="single" w:color="auto"/>
          <w:color w:val="auto"/>
        </w:rPr>
        <w:t>Change in fair value of share-settled redemption feature and gain on conversion of convertible notes</w:t>
      </w:r>
      <w:r>
        <w:rPr>
          <w:rFonts w:ascii="Times New Roman" w:cs="Times New Roman" w:eastAsia="Times New Roman" w:hAnsi="Times New Roman"/>
          <w:sz w:val="16"/>
          <w:szCs w:val="16"/>
          <w:color w:val="auto"/>
        </w:rPr>
        <w:t>. This change is a result of fair value adjustments due to the decrease in our stock price period-over-period and as a result of the conversion of the Company’s convertible notes.</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u w:val="single" w:color="auto"/>
          <w:color w:val="auto"/>
        </w:rPr>
        <w:t>Other expense (income), net</w:t>
      </w:r>
      <w:r>
        <w:rPr>
          <w:rFonts w:ascii="Times New Roman" w:cs="Times New Roman" w:eastAsia="Times New Roman" w:hAnsi="Times New Roman"/>
          <w:sz w:val="16"/>
          <w:szCs w:val="16"/>
          <w:color w:val="auto"/>
        </w:rPr>
        <w:t>. The change in other (income) expense, net is primarily due to fluctuations in foreign currency rates which impacted the remeasurement of foreign balances to reporting currency.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Provision for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provision for income taxes (in thousands, except percentages):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040" w:type="dxa"/>
            <w:vAlign w:val="bottom"/>
            <w:gridSpan w:val="4"/>
          </w:tcPr>
          <w:p>
            <w:pPr>
              <w:jc w:val="right"/>
              <w:ind w:right="118"/>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Pr>
          <w:p>
            <w:pPr>
              <w:spacing w:after="0"/>
              <w:rPr>
                <w:sz w:val="18"/>
                <w:szCs w:val="18"/>
                <w:color w:val="auto"/>
              </w:rPr>
            </w:pPr>
          </w:p>
        </w:tc>
      </w:tr>
      <w:tr>
        <w:trPr>
          <w:trHeight w:val="25"/>
        </w:trPr>
        <w:tc>
          <w:tcPr>
            <w:tcW w:w="45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4580" w:type="dxa"/>
            <w:vAlign w:val="bottom"/>
          </w:tcPr>
          <w:p>
            <w:pPr>
              <w:spacing w:after="0"/>
              <w:rPr>
                <w:sz w:val="18"/>
                <w:szCs w:val="18"/>
                <w:color w:val="auto"/>
              </w:rPr>
            </w:pPr>
          </w:p>
        </w:tc>
        <w:tc>
          <w:tcPr>
            <w:tcW w:w="1300" w:type="dxa"/>
            <w:vAlign w:val="bottom"/>
          </w:tcPr>
          <w:p>
            <w:pPr>
              <w:jc w:val="center"/>
              <w:ind w:left="29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left="298"/>
              <w:spacing w:after="0"/>
              <w:rPr>
                <w:sz w:val="20"/>
                <w:szCs w:val="20"/>
                <w:color w:val="auto"/>
              </w:rPr>
            </w:pPr>
            <w:r>
              <w:rPr>
                <w:rFonts w:ascii="Times New Roman" w:cs="Times New Roman" w:eastAsia="Times New Roman" w:hAnsi="Times New Roman"/>
                <w:sz w:val="16"/>
                <w:szCs w:val="16"/>
                <w:i w:val="1"/>
                <w:iCs w:val="1"/>
                <w:color w:val="auto"/>
              </w:rPr>
              <w:t>As Restated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4580" w:type="dxa"/>
            <w:vAlign w:val="bottom"/>
          </w:tcPr>
          <w:p>
            <w:pPr>
              <w:spacing w:after="0"/>
              <w:rPr>
                <w:sz w:val="21"/>
                <w:szCs w:val="21"/>
                <w:color w:val="auto"/>
              </w:rPr>
            </w:pPr>
          </w:p>
        </w:tc>
        <w:tc>
          <w:tcPr>
            <w:tcW w:w="13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4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300" w:type="dxa"/>
            <w:vAlign w:val="bottom"/>
            <w:shd w:val="clear" w:color="auto" w:fill="CCEEFF"/>
          </w:tcPr>
          <w:p>
            <w:pPr>
              <w:jc w:val="right"/>
              <w:ind w:right="111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5"/>
        </w:trPr>
        <w:tc>
          <w:tcPr>
            <w:tcW w:w="45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provision for income taxes decreased, primarily as a result of taxes related to operations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operations and comprehensive loss, balance sheets, or statements of cash flows.</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To supplement the consolidated financial statements, which are prepared and presented in accordance with GAAP, we use the following non-GAAP financial measures: Free Cash Flow (“FCF”), Cash Contribution, and Cash Contribution Margin (“CCM”)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Free Cash Flow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calculation of FCF, excluding restructuring costs and lease termination costs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4"/>
          </w:tcPr>
          <w:p>
            <w:pPr>
              <w:jc w:val="right"/>
              <w:ind w:right="958"/>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38"/>
        </w:trPr>
        <w:tc>
          <w:tcPr>
            <w:tcW w:w="75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2"/>
        </w:trPr>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9"/>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(110,904)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(149,988)</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420" w:type="dxa"/>
            <w:vAlign w:val="bottom"/>
          </w:tcPr>
          <w:p>
            <w:pPr>
              <w:spacing w:after="0"/>
              <w:rPr>
                <w:sz w:val="19"/>
                <w:szCs w:val="19"/>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(12,362)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(29,693)</w:t>
            </w:r>
          </w:p>
        </w:tc>
      </w:tr>
      <w:tr>
        <w:trPr>
          <w:trHeight w:val="38"/>
        </w:trPr>
        <w:tc>
          <w:tcPr>
            <w:tcW w:w="75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9"/>
        </w:trPr>
        <w:tc>
          <w:tcPr>
            <w:tcW w:w="7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FCF, including restructuring costs</w:t>
            </w:r>
          </w:p>
        </w:tc>
        <w:tc>
          <w:tcPr>
            <w:tcW w:w="4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(123,266)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(179,681)</w:t>
            </w:r>
          </w:p>
        </w:tc>
      </w:tr>
      <w:tr>
        <w:trPr>
          <w:trHeight w:val="219"/>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restructuring costs</w:t>
            </w:r>
          </w:p>
        </w:tc>
        <w:tc>
          <w:tcPr>
            <w:tcW w:w="420" w:type="dxa"/>
            <w:vAlign w:val="bottom"/>
          </w:tcPr>
          <w:p>
            <w:pPr>
              <w:spacing w:after="0"/>
              <w:rPr>
                <w:sz w:val="19"/>
                <w:szCs w:val="19"/>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2,322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3,712</w:t>
            </w:r>
          </w:p>
        </w:tc>
      </w:tr>
      <w:tr>
        <w:trPr>
          <w:trHeight w:val="38"/>
        </w:trPr>
        <w:tc>
          <w:tcPr>
            <w:tcW w:w="7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lease termination costs</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1,343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FCF, excluding restructuring costs and lease termination costs</w:t>
            </w:r>
          </w:p>
        </w:tc>
        <w:tc>
          <w:tcPr>
            <w:tcW w:w="4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(119,601)</w:t>
            </w:r>
          </w:p>
        </w:tc>
        <w:tc>
          <w:tcPr>
            <w:tcW w:w="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(175,969)</w:t>
            </w:r>
          </w:p>
        </w:tc>
      </w:tr>
      <w:tr>
        <w:trPr>
          <w:trHeight w:val="23"/>
        </w:trPr>
        <w:tc>
          <w:tcPr>
            <w:tcW w:w="7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FCF, excluding restructuring costs and lease termination costs, represents cash used in operating activities plus cash used in investing activities, excluding the impact of restructuring charges. The most directly comparable GAAP financial measure is cash used in operating activities. Our near-term focus is to reach sustainable positive FCF, as detailed in our Cash Flow Positive Plan.</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We believe FCF, excluding restructuring costs and lease termination costs,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Our FCF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change in FCF, excluding restructuring costs and lease termination costs, year-over-year represented a 32.0% improvement, primarily driven by a decrease in cash used in operating activities, excluding the impact of restructuring costs, of $39.1 million, and a decrease in cash used in investing activities of $17.3 million. Refer to the section entitled “Liquidity and Capital Resources – Cash Flow Information” below for further discussion surrounding the changes in our cash flow figures period-over-period.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0" w:name="page91"/>
    <w:bookmarkEnd w:id="90"/>
    <w:tbl>
      <w:tblPr>
        <w:tblLayout w:type="fixed"/>
        <w:tblInd w:w="2"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750"/>
        </w:trPr>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Cash Contribution and CCM</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6"/>
        </w:trPr>
        <w:tc>
          <w:tcPr>
            <w:tcW w:w="7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presents the calculation of Cash Contribution and CCM (in thousands):</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65"/>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60" w:type="dxa"/>
            <w:vAlign w:val="bottom"/>
            <w:gridSpan w:val="4"/>
          </w:tcPr>
          <w:p>
            <w:pPr>
              <w:jc w:val="right"/>
              <w:ind w:right="1158"/>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38"/>
        </w:trPr>
        <w:tc>
          <w:tcPr>
            <w:tcW w:w="1160" w:type="dxa"/>
            <w:vAlign w:val="bottom"/>
          </w:tcPr>
          <w:p>
            <w:pPr>
              <w:spacing w:after="0"/>
              <w:rPr>
                <w:sz w:val="3"/>
                <w:szCs w:val="3"/>
                <w:color w:val="auto"/>
              </w:rPr>
            </w:pPr>
          </w:p>
        </w:tc>
        <w:tc>
          <w:tcPr>
            <w:tcW w:w="59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12"/>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2022</w:t>
            </w:r>
          </w:p>
        </w:tc>
      </w:tr>
      <w:tr>
        <w:trPr>
          <w:trHeight w:val="257"/>
        </w:trPr>
        <w:tc>
          <w:tcPr>
            <w:tcW w:w="11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jc w:val="right"/>
              <w:ind w:right="498"/>
              <w:spacing w:after="0"/>
              <w:rPr>
                <w:sz w:val="20"/>
                <w:szCs w:val="20"/>
                <w:color w:val="auto"/>
              </w:rPr>
            </w:pPr>
            <w:r>
              <w:rPr>
                <w:rFonts w:ascii="Times New Roman" w:cs="Times New Roman" w:eastAsia="Times New Roman" w:hAnsi="Times New Roman"/>
                <w:sz w:val="16"/>
                <w:szCs w:val="16"/>
                <w:i w:val="1"/>
                <w:iCs w:val="1"/>
                <w:color w:val="auto"/>
              </w:rPr>
              <w:t>(As Restated)</w:t>
            </w:r>
          </w:p>
        </w:tc>
      </w:tr>
      <w:tr>
        <w:trPr>
          <w:trHeight w:val="38"/>
        </w:trPr>
        <w:tc>
          <w:tcPr>
            <w:tcW w:w="7100" w:type="dxa"/>
            <w:vAlign w:val="bottom"/>
            <w:tcBorders>
              <w:bottom w:val="single" w:sz="8" w:color="CCEEFF"/>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1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Non-property level sales and marketing:</w:t>
            </w:r>
          </w:p>
        </w:tc>
        <w:tc>
          <w:tcPr>
            <w:tcW w:w="1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200" w:type="dxa"/>
            <w:vAlign w:val="bottom"/>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78,566</w:t>
            </w:r>
          </w:p>
        </w:tc>
        <w:tc>
          <w:tcPr>
            <w:tcW w:w="8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52,672</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property level sales and marketing</w:t>
            </w:r>
          </w:p>
        </w:tc>
        <w:tc>
          <w:tcPr>
            <w:tcW w:w="1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53,061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37,785</w:t>
            </w:r>
          </w:p>
        </w:tc>
      </w:tr>
      <w:tr>
        <w:trPr>
          <w:trHeight w:val="212"/>
        </w:trPr>
        <w:tc>
          <w:tcPr>
            <w:tcW w:w="7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Non-property level sales and marketing</w:t>
            </w:r>
          </w:p>
        </w:tc>
        <w:tc>
          <w:tcPr>
            <w:tcW w:w="1200" w:type="dxa"/>
            <w:vAlign w:val="bottom"/>
            <w:tcBorders>
              <w:top w:val="single" w:sz="8" w:color="auto"/>
            </w:tcBorders>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25,505</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14,887</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45"/>
        </w:trPr>
        <w:tc>
          <w:tcPr>
            <w:tcW w:w="7100" w:type="dxa"/>
            <w:vAlign w:val="bottom"/>
            <w:gridSpan w:val="2"/>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Non-property level operations and support:</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Operations and support</w:t>
            </w: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212,913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204,026</w:t>
            </w: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Less: property level operations and support</w:t>
            </w:r>
          </w:p>
        </w:tc>
        <w:tc>
          <w:tcPr>
            <w:tcW w:w="120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122,008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108,715</w:t>
            </w:r>
          </w:p>
        </w:tc>
      </w:tr>
      <w:tr>
        <w:trPr>
          <w:trHeight w:val="38"/>
        </w:trPr>
        <w:tc>
          <w:tcPr>
            <w:tcW w:w="7100" w:type="dxa"/>
            <w:vAlign w:val="bottom"/>
            <w:tcBorders>
              <w:bottom w:val="single" w:sz="8" w:color="CCEEFF"/>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29"/>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Non-property level operations and support</w:t>
            </w: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90,905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95,311</w:t>
            </w:r>
          </w:p>
        </w:tc>
      </w:tr>
      <w:tr>
        <w:trPr>
          <w:trHeight w:val="135"/>
        </w:trPr>
        <w:tc>
          <w:tcPr>
            <w:tcW w:w="7100" w:type="dxa"/>
            <w:vAlign w:val="bottom"/>
            <w:gridSpan w:val="2"/>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3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Non-property level operating expenses:</w:t>
            </w:r>
          </w:p>
        </w:tc>
        <w:tc>
          <w:tcPr>
            <w:tcW w:w="1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0" w:type="dxa"/>
            <w:vAlign w:val="bottom"/>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112,082</w:t>
            </w:r>
          </w:p>
        </w:tc>
        <w:tc>
          <w:tcPr>
            <w:tcW w:w="8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131,877</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 research and development</w:t>
            </w:r>
          </w:p>
        </w:tc>
        <w:tc>
          <w:tcPr>
            <w:tcW w:w="1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22,365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28,612</w:t>
            </w: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 non-property level sales and marketing</w:t>
            </w:r>
          </w:p>
        </w:tc>
        <w:tc>
          <w:tcPr>
            <w:tcW w:w="120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25,505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14,887</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 non-property level operations and support</w:t>
            </w:r>
          </w:p>
        </w:tc>
        <w:tc>
          <w:tcPr>
            <w:tcW w:w="1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90,905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95,311</w:t>
            </w: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Less: stock-based compensation</w:t>
            </w:r>
          </w:p>
        </w:tc>
        <w:tc>
          <w:tcPr>
            <w:tcW w:w="120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28,494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24,337</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1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22,147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23,914</w:t>
            </w:r>
          </w:p>
        </w:tc>
      </w:tr>
      <w:tr>
        <w:trPr>
          <w:trHeight w:val="212"/>
        </w:trPr>
        <w:tc>
          <w:tcPr>
            <w:tcW w:w="7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Non-property level operating expenses</w:t>
            </w:r>
          </w:p>
        </w:tc>
        <w:tc>
          <w:tcPr>
            <w:tcW w:w="1200" w:type="dxa"/>
            <w:vAlign w:val="bottom"/>
            <w:tcBorders>
              <w:top w:val="single" w:sz="8" w:color="auto"/>
            </w:tcBorders>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200,216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222,436</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45"/>
        </w:trPr>
        <w:tc>
          <w:tcPr>
            <w:tcW w:w="7100" w:type="dxa"/>
            <w:vAlign w:val="bottom"/>
            <w:gridSpan w:val="2"/>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1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Cash Contribution:</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(110,904)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(149,988)</w:t>
            </w: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 cash paid for restructuring costs</w:t>
            </w:r>
          </w:p>
        </w:tc>
        <w:tc>
          <w:tcPr>
            <w:tcW w:w="120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2,322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3,712</w:t>
            </w:r>
          </w:p>
        </w:tc>
      </w:tr>
      <w:tr>
        <w:trPr>
          <w:trHeight w:val="38"/>
        </w:trPr>
        <w:tc>
          <w:tcPr>
            <w:tcW w:w="71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7"/>
        </w:trPr>
        <w:tc>
          <w:tcPr>
            <w:tcW w:w="7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 cash paid for lease termination costs</w:t>
            </w:r>
          </w:p>
        </w:tc>
        <w:tc>
          <w:tcPr>
            <w:tcW w:w="1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1,343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 non-property level operating expenses</w:t>
            </w:r>
          </w:p>
        </w:tc>
        <w:tc>
          <w:tcPr>
            <w:tcW w:w="1200" w:type="dxa"/>
            <w:vAlign w:val="bottom"/>
          </w:tcPr>
          <w:p>
            <w:pPr>
              <w:spacing w:after="0"/>
              <w:rPr>
                <w:sz w:val="19"/>
                <w:szCs w:val="19"/>
                <w:color w:val="auto"/>
              </w:rPr>
            </w:pP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200,216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222,436</w:t>
            </w:r>
          </w:p>
        </w:tc>
      </w:tr>
      <w:tr>
        <w:trPr>
          <w:trHeight w:val="38"/>
        </w:trPr>
        <w:tc>
          <w:tcPr>
            <w:tcW w:w="7100" w:type="dxa"/>
            <w:vAlign w:val="bottom"/>
            <w:tcBorders>
              <w:bottom w:val="single" w:sz="8" w:color="CCEEFF"/>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29"/>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contribution (numerator)</w:t>
            </w: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92,977</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76,160</w:t>
            </w:r>
          </w:p>
        </w:tc>
      </w:tr>
      <w:tr>
        <w:trPr>
          <w:trHeight w:val="21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(denominator)</w:t>
            </w:r>
          </w:p>
        </w:tc>
        <w:tc>
          <w:tcPr>
            <w:tcW w:w="1200" w:type="dxa"/>
            <w:vAlign w:val="bottom"/>
          </w:tcPr>
          <w:p>
            <w:pPr>
              <w:jc w:val="right"/>
              <w:ind w:right="1018"/>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602,066</w:t>
            </w:r>
          </w:p>
        </w:tc>
        <w:tc>
          <w:tcPr>
            <w:tcW w:w="8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464,978</w:t>
            </w:r>
          </w:p>
        </w:tc>
      </w:tr>
      <w:tr>
        <w:trPr>
          <w:trHeight w:val="38"/>
        </w:trPr>
        <w:tc>
          <w:tcPr>
            <w:tcW w:w="7100" w:type="dxa"/>
            <w:vAlign w:val="bottom"/>
            <w:tcBorders>
              <w:bottom w:val="single" w:sz="8" w:color="CCEEFF"/>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74"/>
        </w:trPr>
        <w:tc>
          <w:tcPr>
            <w:tcW w:w="7100" w:type="dxa"/>
            <w:vAlign w:val="bottom"/>
            <w:tcBorders>
              <w:bottom w:val="single" w:sz="8" w:color="CCEEFF"/>
            </w:tcBorders>
            <w:gridSpan w:val="2"/>
            <w:shd w:val="clear" w:color="auto" w:fill="CCEEFF"/>
          </w:tcPr>
          <w:p>
            <w:pPr>
              <w:ind w:left="20"/>
              <w:spacing w:after="0" w:line="249" w:lineRule="exact"/>
              <w:rPr>
                <w:sz w:val="20"/>
                <w:szCs w:val="20"/>
                <w:color w:val="auto"/>
              </w:rPr>
            </w:pPr>
            <w:r>
              <w:rPr>
                <w:rFonts w:ascii="Times New Roman" w:cs="Times New Roman" w:eastAsia="Times New Roman" w:hAnsi="Times New Roman"/>
                <w:sz w:val="28"/>
                <w:szCs w:val="28"/>
                <w:i w:val="1"/>
                <w:iCs w:val="1"/>
                <w:color w:val="auto"/>
                <w:vertAlign w:val="subscript"/>
              </w:rPr>
              <w:t>CCM</w:t>
            </w:r>
            <w:r>
              <w:rPr>
                <w:rFonts w:ascii="Times New Roman" w:cs="Times New Roman" w:eastAsia="Times New Roman" w:hAnsi="Times New Roman"/>
                <w:sz w:val="10"/>
                <w:szCs w:val="10"/>
                <w:i w:val="1"/>
                <w:iCs w:val="1"/>
                <w:color w:val="auto"/>
              </w:rPr>
              <w:t>(1)</w:t>
            </w:r>
          </w:p>
        </w:tc>
        <w:tc>
          <w:tcPr>
            <w:tcW w:w="1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15.4 %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16.4 %</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22" w:right="20" w:hanging="222"/>
        <w:spacing w:after="0" w:line="266" w:lineRule="auto"/>
        <w:tabs>
          <w:tab w:leader="none" w:pos="21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used in operating activities includes the benefit of furniture, fixtures, and equipment (“FF&amp;E”) allowance realized, and therefore, Cash Contribution and CCM include the benefit of FF&amp;E allowance realized. FF&amp;E allowance realized represents payments received from the real estate owner to help offset the capital invested to prepare and furnish a building and the individual units during the period.</w:t>
      </w:r>
    </w:p>
    <w:p>
      <w:pPr>
        <w:spacing w:after="0" w:line="199"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color w:val="auto"/>
        </w:rPr>
        <w:t>Cash contribution is defined as operating cash flow before non-property level costs and the impact of restructuring charges, if any. CCM is defined as cash contribution as a percentage of revenue. The most directly comparable GAAP financial measure is cash used in operating activities. CCM is a unit economics measure for our property-level cash performance. We use CCM as one of several metrics to assess the cash performance of our Live Units portfolio, taking into account the benefit of upfront rent abatement, which is common in the deals we sign. We believe CCM is meaningful to investors as it functions as a useful measure of property-level unit cash economics. We may change or reevaluate our metrics to most accurately reflect our business.</w:t>
      </w:r>
    </w:p>
    <w:p>
      <w:pPr>
        <w:spacing w:after="0" w:line="188"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Our CCM may differ from similarly titled measures used by other companies due to different methods of calculation. Presentation of this measure is not intended to be considered in isolation or as a substitute for, or superior to, the financial information prepared and presented in accordance with GAAP. In addition, this measure may not provide a complete understanding of our operating cash flow as a whole. As such, this measure should be reviewed in conjunction with our GAAP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1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CCM increased by 100 basis points, driven primarily by an increase in cash contribution of $16.8 million, which increased at a greater rate than the increase in revenue of $137.1 million. Refer to the section entitled “Liquidity and Capital Resources – Cash Flow Information” below for further discussion surrounding the changes in our cash flow figures period-over-period.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 Considerations</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In accordance with ASC Topic 205-40, </w:t>
      </w:r>
      <w:r>
        <w:rPr>
          <w:rFonts w:ascii="Times New Roman" w:cs="Times New Roman" w:eastAsia="Times New Roman" w:hAnsi="Times New Roman"/>
          <w:sz w:val="16"/>
          <w:szCs w:val="16"/>
          <w:i w:val="1"/>
          <w:iCs w:val="1"/>
          <w:color w:val="auto"/>
        </w:rPr>
        <w:t>Going Concern</w:t>
      </w:r>
      <w:r>
        <w:rPr>
          <w:rFonts w:ascii="Times New Roman" w:cs="Times New Roman" w:eastAsia="Times New Roman" w:hAnsi="Times New Roman"/>
          <w:sz w:val="16"/>
          <w:szCs w:val="16"/>
          <w:color w:val="auto"/>
        </w:rPr>
        <w:t>, the Company’s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Annual Report on Form 10-K.</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As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to the consolidated financial statements included in this Annual Report on Form 10-K,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While the 2024 actions discussed in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the Company’s management has concluded that there is substantial doubt, which is not alleviated, about the Company’s ability to continue as a going concern for at least one year from the date of issuance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address the substantial doubt about the Company's ability to continue as a going concern, as described above, the Company has embarked on the following actions:</w:t>
      </w:r>
    </w:p>
    <w:p>
      <w:pPr>
        <w:spacing w:after="0" w:line="232" w:lineRule="exact"/>
        <w:rPr>
          <w:sz w:val="20"/>
          <w:szCs w:val="20"/>
          <w:color w:val="auto"/>
        </w:rPr>
      </w:pPr>
    </w:p>
    <w:p>
      <w:pPr>
        <w:ind w:left="580" w:hanging="288"/>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engaged a financial advisor to assist in identifying and securing strategic alternatives and financing arrangements,</w:t>
      </w:r>
    </w:p>
    <w:p>
      <w:pPr>
        <w:spacing w:after="0" w:line="27"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free cash flow improvements of over $40 million of which the Company expects termination fees of less than $20 million associated with these agreements; Of the approximately 80 buildings, or 3,200 units, with finalized exit agreements, the Company has already exited approximately 60 buildings, or 2,300 units, as of June 10, 2024 and expects to exit the remaining buildings throughout the remainder of 2024,</w:t>
      </w:r>
    </w:p>
    <w:p>
      <w:pPr>
        <w:spacing w:after="0" w:line="2" w:lineRule="exact"/>
        <w:rPr>
          <w:rFonts w:ascii="Times New Roman" w:cs="Times New Roman" w:eastAsia="Times New Roman" w:hAnsi="Times New Roman"/>
          <w:sz w:val="16"/>
          <w:szCs w:val="16"/>
          <w:color w:val="auto"/>
        </w:rPr>
      </w:pPr>
    </w:p>
    <w:p>
      <w:pPr>
        <w:jc w:val="both"/>
        <w:ind w:left="580" w:hanging="288"/>
        <w:spacing w:after="0" w:line="263" w:lineRule="auto"/>
        <w:tabs>
          <w:tab w:leader="none" w:pos="5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spacing w:after="0" w:line="178"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entered into the Marriott Agreement which allows us to integrate our properties with Marriott’s systems, distribution channels, and branding, and, subject to meeting certain conditions, entitles the Company to receive $15 million of Key Money in two tranches by March 31, 2025; this agreement provides the opportunity for the Company to increase its financial performance through the potential to increase revenue by integrating with Marriott’s commercial engine, deliver costs savings through synergies and scale and power future growth,</w:t>
      </w:r>
    </w:p>
    <w:p>
      <w:pPr>
        <w:spacing w:after="0" w:line="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financing from the Company’s existing noteholders in the amount of $16 million during June and July 2024, as previously announced,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financing arrangements that provide the Company with access to approximately $139 million in additional liquidity, including</w:t>
      </w:r>
    </w:p>
    <w:p>
      <w:pPr>
        <w:spacing w:after="0" w:line="11" w:lineRule="exact"/>
        <w:rPr>
          <w:rFonts w:ascii="Times New Roman" w:cs="Times New Roman" w:eastAsia="Times New Roman" w:hAnsi="Times New Roman"/>
          <w:sz w:val="16"/>
          <w:szCs w:val="16"/>
          <w:color w:val="auto"/>
        </w:rPr>
      </w:pPr>
    </w:p>
    <w:p>
      <w:pPr>
        <w:jc w:val="both"/>
        <w:ind w:left="1180" w:hanging="300"/>
        <w:spacing w:after="0" w:line="263" w:lineRule="auto"/>
        <w:tabs>
          <w:tab w:leader="none" w:pos="117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issuing approximately $43 million in Series A Convertible Preferred Stock to certain qualified institutional buyers or accredited investors, of which $14.7 million was received in August 2024 and commitments have been received to purchase an additional $28.6 million, subject to certain milestones and customary closing conditions,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1180" w:hanging="300"/>
        <w:spacing w:after="0" w:line="284" w:lineRule="auto"/>
        <w:tabs>
          <w:tab w:leader="none" w:pos="117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spacing w:after="0" w:line="167"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sources of liquidity totaling $13 million.</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Company’s management considered the mitigating effect of management’s plans in evaluating whether substantial doubt is alleviated. As previously discussed, the Company’s recent financing arrangements and licensing agreement are contingent upon the successful execution of a number of critical milestones, of which the timing of completion cannot be guaranteed to ensure liquidity is available when needed to meet the Company’s obligations. As a result of these considerations, the Company’s management has concluded that substantial doubt about the Company’s ability to continue as a going concern has not been alleviated for at least one year from the date of issuance of this Annual Report on Form 10-K.</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As a result of the potential Event of Default, the indebtedness related to our Delayed Draw Notes as of December 31, 2023 has been reclassified from long-term debt, net to current portion of long term-debt, net. These events could further limit our ability to obtain adequate or satisfactory financing when we require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and Uses of Cash</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At December 31, 2023, we had a cash balance, not including restricted cash, of $95.8 million, which was held for working capital purposes. Cash consists of checking and interest-bearing accounts. Reaching sustainable positive Free Cash Flow is our primary focus in the near-term, as detailed in our Cash Flow Positive Plan. Once we reach sustainable positive Free Cash Flow,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cash in 2023 was cash inflows from both current period and future guest bookings.</w:t>
      </w:r>
    </w:p>
    <w:p>
      <w:pPr>
        <w:spacing w:after="0" w:line="1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We have incurred losses since inception, and we expect to continue to incur additional losses in the future. Our operations to date have been financed primarily by private equity investments in our common and convertible preferred stock, convertible notes, and other note and warrant purchase agreements, as described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in the notes to our audited consolidated financial statements included in this Annual Report on Form 10-K.</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believe that our existing cash on hand combined with our anticipated estimated free cash flow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Annual Report on Form 10-K. Our future capital requirements will depend on many factors, including, but not limited to, our successful execution of a number of critical milestones required under our recent financing arrangements and licensing agreement,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Most of our cash was held in the United States as of December 31, 2023. Our foreign subsidiaries held $15.4 million of cash in foreign jurisdictions. We currently do not intend or foresee a need to repatriate these foreign funds. As a result of the Tax Cuts and Jobs Act of 2017, however, we anticipate the U.S. federal tax impact to be minimal if these foreign funds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are repatriated and would not repatriate funds where there was a material tax cost. In addition, based on our current and future needs, we believe our current funding and capital resources for our international operations are adequate.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Debt Arrangements</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Debt arrangements, such as our credit facilities and Delayed Draw Notes, have been a source of cash for our day-to-day operations. </w:t>
      </w:r>
      <w:r>
        <w:rPr>
          <w:rFonts w:ascii="Times New Roman" w:cs="Times New Roman" w:eastAsia="Times New Roman" w:hAnsi="Times New Roman"/>
          <w:sz w:val="16"/>
          <w:szCs w:val="16"/>
          <w:i w:val="1"/>
          <w:iCs w:val="1"/>
          <w:color w:val="auto"/>
        </w:rPr>
        <w:t>R</w:t>
      </w:r>
      <w:r>
        <w:rPr>
          <w:rFonts w:ascii="Times New Roman" w:cs="Times New Roman" w:eastAsia="Times New Roman" w:hAnsi="Times New Roman"/>
          <w:sz w:val="16"/>
          <w:szCs w:val="16"/>
          <w:color w:val="auto"/>
        </w:rPr>
        <w:t xml:space="preserve">efer to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and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in the notes to our audited consolidated financial statements included in this Annual Report on Form 10-K for discussion of our debt arrangements,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the timing of expected maturity of such arrangements. These arrangements include our $60.0 million loan and security agreement with SVB, now a division of First Citizens Bank &amp; Trust Company. In November 2023, this facility was amended which reduced the letter of credit sublimit from $60.0 million to $45.0 million. As of December 31, 2023, for so long as we are unable to satisfy a minimum consolidated adjusted EBITDA covenant, we are required to cash collateralize our obligations under the SVB loan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Future Cash Obligations</w:t>
      </w:r>
    </w:p>
    <w:p>
      <w:pPr>
        <w:spacing w:after="0" w:line="2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Our estimated future obligations as of December 31, 2023 include both current and long-term obligations. Our debt obligations, including both capitalized to-date and future paid-in-kind interest through the election date of June 2024, totaled $196.3 million as of December 31, 2023, of which $168.7 million was short-term, and the remainder was long-term. Interest on the foregoing debt obligations is payable in cash after the June 2024 election date. Additionally, we had $37.6 million of irrevocable standby letters of credit outstanding which were collateralized by our restricted cash, all of which represents a long term cash obligation. Under our operating leases as discussed in Note 9,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in the notes to our consolidated financial statements included in this Annual Report on Form 10-K, we had a current obligation, before imputed interest, of $288.9 million and a long-term obligation, before imputed interest, of $1.5 billion as of December 31, 2023.</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Operating lease obligations primarily represent the initial contracted term for leases that have commenced as of December 31, 2023, not including any future optional renewal periods. In addition, as of December 31, 2023, we have entered into leases that have not yet commenced with no short-term future lease payments and long-term future lease payments totaling $0.8 billion, excluding purchase options, that are not yet recorded on the consolidated balance sheets and are not reflected in the figure above. These leases will commence between 2024 and 2026 with lease terms of five to 20 years.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has undertaken a portfolio optimization program, which involves discussions with landlords about renegotiating the terms of leases primarily at certain underperforming properties. This process has resulted and may result in contract modifications resulting in changes to rent amounts, lease durations, or other provisions of our lease agreements and in the termination of certain leases leading to the transition of certain properties over time and the incurrence of certain expenses, including but not limited to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0"/>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Cash Flow Information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6"/>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our cash flows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65"/>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auto"/>
              </w:rPr>
              <w:t>Year ended December 31,</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
        </w:trPr>
        <w:tc>
          <w:tcPr>
            <w:tcW w:w="1160" w:type="dxa"/>
            <w:vAlign w:val="bottom"/>
          </w:tcPr>
          <w:p>
            <w:pPr>
              <w:spacing w:after="0"/>
              <w:rPr>
                <w:sz w:val="3"/>
                <w:szCs w:val="3"/>
                <w:color w:val="auto"/>
              </w:rPr>
            </w:pPr>
          </w:p>
        </w:tc>
        <w:tc>
          <w:tcPr>
            <w:tcW w:w="51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2"/>
        </w:trPr>
        <w:tc>
          <w:tcPr>
            <w:tcW w:w="11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 Change</w:t>
            </w:r>
          </w:p>
        </w:tc>
      </w:tr>
      <w:tr>
        <w:trPr>
          <w:trHeight w:val="38"/>
        </w:trPr>
        <w:tc>
          <w:tcPr>
            <w:tcW w:w="634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9"/>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39,084</w:t>
            </w:r>
          </w:p>
        </w:tc>
      </w:tr>
      <w:tr>
        <w:trPr>
          <w:trHeight w:val="21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17,331</w:t>
            </w:r>
          </w:p>
        </w:tc>
      </w:tr>
      <w:tr>
        <w:trPr>
          <w:trHeight w:val="38"/>
        </w:trPr>
        <w:tc>
          <w:tcPr>
            <w:tcW w:w="634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7"/>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(432,831)</w:t>
            </w:r>
          </w:p>
        </w:tc>
      </w:tr>
      <w:tr>
        <w:trPr>
          <w:trHeight w:val="21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Effects of foreign exchange on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w:t>
            </w:r>
          </w:p>
        </w:tc>
      </w:tr>
      <w:tr>
        <w:trPr>
          <w:trHeight w:val="38"/>
        </w:trPr>
        <w:tc>
          <w:tcPr>
            <w:tcW w:w="634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8"/>
        </w:trPr>
        <w:tc>
          <w:tcPr>
            <w:tcW w:w="6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(371,934)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Operating Activities</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Net cash used in operating activities decreased year-over year, primarily due to an improvement in our operating loss performance on the 29.5% increase in revenue. Cash used in operating activities is subject to variability period-over-period as a result of timing differences, including with respect to the collection of receivables and payments of interest expense, accounts payable, and other items, as well as variability in our stock price as it relates to fair value of the SPAC Warrants and Earn Out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Investing Activities</w:t>
      </w:r>
    </w:p>
    <w:p>
      <w:pPr>
        <w:spacing w:after="0" w:line="2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Net cash used in investing activities decreased year-over-year, primarily as a result of a decrease in purchases of property and equipment of $16.3 million, largely related to a decrease in purchases for furnishings and fixtures for our Live Units.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Financing Activities</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Net cash provided by (used in) financing activities decreased year-over-year, primarily related to proceeds received in the year ended December 31, 2022 of $159.2 million from the Delayed Draw Notes, net of issuance costs and proceeds of $325.9 million from the Business Combination and PIPE offering, partially offset by an increase in proceeds from the issuance of debt of $3.0 million and an increase in cash outflows of $58.6 million for common stock issuance costs, primarily related to the close of the Business Combination, and to the $35.2 million partial repayment of the Delayed Draw Notes in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2023, we had the following off-balance sheet arrangements: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Letters of Credit</w:t>
      </w:r>
    </w:p>
    <w:p>
      <w:pPr>
        <w:spacing w:after="0" w:line="2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We had $37.6 million of irrevocable standby letters of credit outstanding, which were collateralized by our restricted cash, of which $36.0 million were under our revolving credit facilities. Letters of credit are primarily used as a form of security deposits for the buildings and partial buildings we lease.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Surety Bonds</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 portion of our leases are supported by surety bonds provided by affiliates of certain insurance companies. As of December 31, 2023, we had assembled commitments from six surety providers in the amount of $44.5 million, of which $40.8 million was outstanding and was an off-balance sheet arrangement.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 Agreements</w:t>
      </w:r>
    </w:p>
    <w:p>
      <w:pPr>
        <w:spacing w:after="0" w:line="23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 xml:space="preserve">See Note 13,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to the consolidated financial statements included within Part II, Item 8 of this Annual Report on Form 10-K for additional information regarding our indemnification agreements.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Effect of Exchange Rates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changes in cash can be impacted by the effect of fluctuating exchange rates. Foreign exchange had a negative effect on cash in the year ended December 31, 2022, decreasing our total cash balance by $1.7 million at December 31, 2022, and a positive effect on cash in the year ended December 31, 2023, increasing our total cash balance by $2.8 million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consolidated financial statements are prepared in accordance with U.S.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results of operations, financial condition, and cash flows.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cost of revenue primarily consists of rental expenses from buildings or portions of buildings that serve as accommodations for our guests. We also lease other properties such as warehouses to store furniture. Our rent payment schedules vary by lease term per executed lease agreements and can be monthly, quarterly, or bi-annually. A large majority of our leases contain provisions for rent abatement periods, rent escalation, and tenant improvement allowances. Certain leases require the payment of real estate taxes, insurance, utilities, and certain common area maintenance costs in addition to minimum rent payments. These amounts are expensed as incurred and are included within cost of revenue on our consolidated statement of operations if paid directly to the lessor, or in operations and support if paid to the authority assessing the cost for guest properties and within general and administrative on our consolidated statement of operations for our warehouses.</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In accordance with Accounting Standards Update (“ASU”) 2016-02,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(Topic 842), (“ASU 2016-02” or Accounting Standards Codification (“ASC”) 842), at the inception of an arrangement, we determine whether the arrangement is or contains a lease based on the unique facts and circumstances present in the arrangement. Leases with a term greater than one year are recognized on the balance sheet as right-of-use assets and short-term and long-term lease liabilities, as applicable. We do not have material financing leases.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we utilize our incremental borrowing rate to discount lease payments, which reflects the fixed rate at which we could borrow on a collateralized basis the amount of the lease payments in the same currency, for a similar term, in a similar economic environment. The determination of our incremental borrowing rate requires estimates surrounding our credit rating, credit spread, and the impact of collateral. To estimate our incremental borrowing rate, a credit rating applicable to us is estimated using a synthetic credit rating analysis since we do not currently have an agency-based credit rating. Prospectively, we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We have elected not to recognize leases with an original term of one year or less on the balance sheet. We typically only include an initial lease term in our assessment of a lease arrangement. Options to renew a lease are not included in our assessment unless there is reasonable certainty that we will renew. Assumptions that we made at the commencement date are re-evaluated upon occurrence of certain events, including a lease modification. A lease modification results in a separate contract when the modification grants the lessee an additional right of use not included in the original lease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when lease payments increase commensurate with the standalone price for the additional right of use. When a lease modification results in a separate contract, it is accounted for in the same manner as a new lease.</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 Entities may elect not to separate lease and non-lease components. Rather, entities would account for each lease component and related non-lease component together as a single lease component. We have elected to account for lease and non-lease components together as a single lease component for all underlying assets and allocate all of the contract consideration to the lease component only. ASC 842 allows for the use of judgment in determining whether the assumed lease term is for a major part of the remaining economic life of the underlying asset and whether the present value of lease payments represents substantially all of the fair value of the underlying asset. We apply the bright line thresholds referenced in ASC 842-10-55-2 to assist in evaluating leases for appropriate classification. The aforementioned bright lines are applied consistently to our entire portfolio of leases.</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Upon termination of a lease, related lease balances on the consolidated balance sheet are written-off. A liability for costs to terminate a lease before the end of its term is recognized in accordance with the lease terms and recorded in operations and support on the consolidated statement of operations and comprehensive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Long-lived assets that are held and used by the Company are reviewed for impairment when events or changes in circumstances indicate that the carrying amount of the asset may not be recoverable.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Any impairments to ROU assets, leasehold improvements, or other assets as a result of a sublease, abandonment, or other similar factor are recorded as an operating expense. Similar to other long-lived assets, management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are subject to income taxes in the United States and foreign jurisdictions in which we operate. We account for income taxes under the asset and liability method, whereby deferred tax assets and liabilities are recognized based on the future tax consequences attributable to temporary differences between the financial statement carrying amounts of existing assets and liabilities and their respective tax bases, and attributable to operating loss and tax credit carry-forwards. We account for uncertainty in tax positions by recognizing a tax benefit from uncertain tax positions when it is more likely than not that the position will be sustained upon examination. Evaluating our uncertain tax positions, determining our provision for income taxes, and evaluating the impact of tax law changes, are inherently uncertain and require making judgments, assumptions, and estimates.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In determining the need for a valuation allowance, we weigh both positive and negative evidence in the various jurisdictions in which we operate to determine whether it is more likely than not that our deferred tax assets are recoverable. We regularly assess all available evidence, including cumulative historic losses and forecasted earnings. Due to cumulative losses in the U.S. during the current and prior two years, including tax deductible stock compensation, and based on all available positive and negative evidence, we do not believe it is more likely than not that our net U.S. deferred tax assets will be realized as of December 31, 2023. Accordingly, a full valuation allowance has been established in the United States, and no deferred tax assets and related tax benefit have been recognized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While we believe that we have adequately reserved for our uncertain tax positions, no assurance can be given that the final tax outcome of these matters will not be different. We adjust these reserves in light of changing facts and circumstances, such as the closing of a tax audit. To the extent that the final tax outcome of these matters is different than the amounts recorded, such differences may impact the provision for income taxes and the effective tax rate in the period in which such determination is made.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Stock-based compensation expense attributable to equity awards granted to employees is measured at the grant date based on the fair value of the award. The expense is recognized on a straight-line basis over the requisite service period for awards that vest, which is generally the period from the grant date to the end of the vesting period. We estimate the fair value of stock option awards granted using the Black-Scholes option pricing model. This model requires various significant judgmental assumptions in order to derive a fair value determination for each type of award, including the fair value of our common stock, the expected term, expected volatility, expected dividend yield, and risk-free interest rate. These assumptions used in the Black-Scholes option-pricing model are estimated as follows:</w:t>
      </w:r>
    </w:p>
    <w:p>
      <w:pPr>
        <w:spacing w:after="0" w:line="188" w:lineRule="exact"/>
        <w:rPr>
          <w:sz w:val="20"/>
          <w:szCs w:val="20"/>
          <w:color w:val="auto"/>
        </w:rPr>
      </w:pPr>
    </w:p>
    <w:p>
      <w:pPr>
        <w:ind w:left="580" w:hanging="288"/>
        <w:spacing w:after="0" w:line="265" w:lineRule="auto"/>
        <w:tabs>
          <w:tab w:leader="none" w:pos="57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 The expected term for options granted to employees, officers, and directors is calculated based on our historical pattern of option exercise behavior and the period of time they are expected to be outstanding.</w:t>
      </w:r>
    </w:p>
    <w:p>
      <w:pPr>
        <w:spacing w:after="0" w:line="1" w:lineRule="exact"/>
        <w:rPr>
          <w:rFonts w:ascii="Times New Roman" w:cs="Times New Roman" w:eastAsia="Times New Roman" w:hAnsi="Times New Roman"/>
          <w:sz w:val="16"/>
          <w:szCs w:val="16"/>
          <w:color w:val="auto"/>
        </w:rPr>
      </w:pPr>
    </w:p>
    <w:p>
      <w:pPr>
        <w:ind w:left="580" w:right="20" w:hanging="288"/>
        <w:spacing w:after="0" w:line="255" w:lineRule="auto"/>
        <w:tabs>
          <w:tab w:leader="none" w:pos="57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 The risk-free interest rate used in the valuation method is the implied yield currently available on the United States treasury zero-coupon issues, with a remaining term equal to the expected term of our options.</w:t>
      </w:r>
    </w:p>
    <w:p>
      <w:pPr>
        <w:ind w:left="580" w:right="20" w:hanging="288"/>
        <w:spacing w:after="0" w:line="255" w:lineRule="auto"/>
        <w:tabs>
          <w:tab w:leader="none" w:pos="57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Expected volatility</w:t>
      </w:r>
      <w:r>
        <w:rPr>
          <w:rFonts w:ascii="Times New Roman" w:cs="Times New Roman" w:eastAsia="Times New Roman" w:hAnsi="Times New Roman"/>
          <w:sz w:val="16"/>
          <w:szCs w:val="16"/>
          <w:color w:val="auto"/>
        </w:rPr>
        <w:t xml:space="preserve"> — The expected volatility is based on the average volatility of similar public entities within our peer group as our stock has not been publicly trading for a long enough period to rely on our own expected volatility.</w:t>
      </w:r>
    </w:p>
    <w:p>
      <w:pPr>
        <w:ind w:left="580" w:hanging="288"/>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Expected dividend yield</w:t>
      </w:r>
      <w:r>
        <w:rPr>
          <w:rFonts w:ascii="Times New Roman" w:cs="Times New Roman" w:eastAsia="Times New Roman" w:hAnsi="Times New Roman"/>
          <w:sz w:val="16"/>
          <w:szCs w:val="16"/>
          <w:color w:val="auto"/>
        </w:rPr>
        <w:t xml:space="preserve"> — Expected dividend yield is zero, as we have not paid and do not anticipate paying dividends on our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grants of stock options have an exercise price equal to or greater than the fair value of our common stock on the date of grant. We account for forfeitures as they occur.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Standards</w:t>
      </w:r>
    </w:p>
    <w:p>
      <w:pPr>
        <w:spacing w:after="0" w:line="23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color w:val="auto"/>
        </w:rPr>
        <w:t xml:space="preserve">See Note 3, </w:t>
      </w:r>
      <w:r>
        <w:rPr>
          <w:rFonts w:ascii="Times New Roman" w:cs="Times New Roman" w:eastAsia="Times New Roman" w:hAnsi="Times New Roman"/>
          <w:sz w:val="16"/>
          <w:szCs w:val="16"/>
          <w:i w:val="1"/>
          <w:iCs w:val="1"/>
          <w:color w:val="auto"/>
        </w:rPr>
        <w:t>Recently Issued Accounting Standards,</w:t>
      </w:r>
      <w:r>
        <w:rPr>
          <w:rFonts w:ascii="Times New Roman" w:cs="Times New Roman" w:eastAsia="Times New Roman" w:hAnsi="Times New Roman"/>
          <w:sz w:val="16"/>
          <w:szCs w:val="16"/>
          <w:color w:val="auto"/>
        </w:rPr>
        <w:t xml:space="preserve"> to the consolidated financial statements included within Part II, Item 8 of this Annual Report on Form 10-K for additional information regarding recently adopted accounting standards and recently issued accounting standards not yet adopted.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23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Sonder’s substantial global operations exposes it to various market risks, primarily including foreign currency risk and interest rate risk.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Sonder transacts business in multiple currencies worldwide. The most significant currency supporting Sonder’s operations for the years ended December 31, 2023 and 2022 was the United States (“U.S.”) dollar. Sonder’s international revenue, as well as costs and expenses denominated in foreign currencies, exposes it to the risk of fluctuations in foreign currency exchange rates against the U.S. dollar. Accordingly, Sonder is subject to foreign currency risk, which may adversely impact its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Sonder has foreign currency exchange risks related primarily to:</w:t>
      </w:r>
    </w:p>
    <w:p>
      <w:pPr>
        <w:spacing w:after="0" w:line="27" w:lineRule="exact"/>
        <w:rPr>
          <w:sz w:val="20"/>
          <w:szCs w:val="20"/>
          <w:color w:val="auto"/>
        </w:rPr>
      </w:pPr>
    </w:p>
    <w:p>
      <w:pPr>
        <w:ind w:left="580" w:hanging="288"/>
        <w:spacing w:after="0" w:line="255" w:lineRule="auto"/>
        <w:tabs>
          <w:tab w:leader="none" w:pos="57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rent, and cleaning fees, which are included in cost of revenue, associated with bookings through its direct and indirect channels denominated in currencies other than the U.S. dollar;</w:t>
      </w:r>
    </w:p>
    <w:p>
      <w:pPr>
        <w:ind w:left="580" w:hanging="288"/>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held as funds receivable and amounts held on behalf of guests as well as funds payable, amounts payable to guests and deposits due from landlords; and</w:t>
      </w:r>
    </w:p>
    <w:p>
      <w:pPr>
        <w:spacing w:after="0" w:line="11"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Intercompany balances primarily related to its payment entities that process guest payments.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For revenue and cost of revenue associated with bookings through its direct and indirect channels outside of the U.S., Sonder generally receives net foreign currency amounts and therefore benefits from a weakening of the U.S. dollar and is adversely affected by a strengthening of the U.S. dollar. Movements in foreign exchange rates are recorded in other expense, net in Sonder’s consolidated statements of operations and comprehensive loss.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Sonder has experienced and will continue to experience fluctuations in foreign exchange gains and losses related to variable exchange rates. If Sonder’s foreign-currency denominated assets, liabilities, revenue, or expenses increase, its results of operations may be more significantly impacted by fluctuations in the exchange rates of the currencies in which Sonder does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Sonder is exposed to interest rate risk related primarily to its outstanding debt. Changes in interest rates affect the interest earned on its total cash as well as interest paid on its debt.</w:t>
      </w:r>
    </w:p>
    <w:p>
      <w:pPr>
        <w:spacing w:after="0" w:line="16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Sonder has not been exposed to, nor anticipates exposure to, material risks due to changes in interest rates. A hypothetical 100 basis points increase or decrease in interest rates would not have had a material impact on its consolidated financial statements as of December 31, 2023.</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Recent increases in interest rates have caused and may continue to cause some property owners and developers to have difficulty financing, refinancing, or completing projects that we plan to lease or that are currently under contract with us. As a result, any such properties in our forecast property pipeline may never develop into new sources of revenue when we anticipated, or at all.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Inflation Risk</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Many of our major markets, including the U.S., have been experiencing elevated inflation levels as a result of global supply and demand imbalances, where global demand continues to outpace current supplies. Inflationary pressures, particularly as they relate to construction costs for properties we plan to lease, rent escalations associated with changes in price indexes, and other material costs to our business, along with supply chain disruptions, could result in increases to our operating and capital costs that are not fixed, reductions in consumers’ willingness or ability to travel, and fewer units in our pipeline of potential leased properties. These economic variables are beyond our control and may adversely impact our business, results of operations, financial condition, and cash flows.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6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 No. 34)</w:t>
            </w:r>
          </w:p>
        </w:tc>
        <w:tc>
          <w:tcPr>
            <w:tcW w:w="524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40" w:type="dxa"/>
            <w:vAlign w:val="bottom"/>
            <w:tcBorders>
              <w:top w:val="single" w:sz="8" w:color="auto"/>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5300" w:type="dxa"/>
            <w:vAlign w:val="bottom"/>
            <w:gridSpan w:val="2"/>
          </w:tcPr>
          <w:p>
            <w:pPr>
              <w:spacing w:after="0"/>
              <w:rPr>
                <w:sz w:val="17"/>
                <w:szCs w:val="17"/>
                <w:color w:val="auto"/>
              </w:rPr>
            </w:pPr>
          </w:p>
        </w:tc>
        <w:tc>
          <w:tcPr>
            <w:tcW w:w="240" w:type="dxa"/>
            <w:vAlign w:val="bottom"/>
            <w:tcBorders>
              <w:bottom w:val="single" w:sz="8" w:color="0000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w:t>
            </w:r>
          </w:p>
        </w:tc>
        <w:tc>
          <w:tcPr>
            <w:tcW w:w="5300" w:type="dxa"/>
            <w:vAlign w:val="bottom"/>
            <w:gridSpan w:val="2"/>
          </w:tcPr>
          <w:p>
            <w:pPr>
              <w:spacing w:after="0"/>
              <w:rPr>
                <w:sz w:val="17"/>
                <w:szCs w:val="17"/>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0000FF"/>
            </w:tcBorders>
            <w:gridSpan w:val="2"/>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1160" w:type="dxa"/>
            <w:vAlign w:val="bottom"/>
            <w:tcBorders>
              <w:bottom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Mezzanine Equity and Stockholders’ Deficit</w:t>
            </w:r>
          </w:p>
        </w:tc>
        <w:tc>
          <w:tcPr>
            <w:tcW w:w="5300" w:type="dxa"/>
            <w:vAlign w:val="bottom"/>
            <w:gridSpan w:val="2"/>
          </w:tcPr>
          <w:p>
            <w:pPr>
              <w:spacing w:after="0"/>
              <w:rPr>
                <w:sz w:val="17"/>
                <w:szCs w:val="17"/>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105</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0000FF"/>
            </w:tcBorders>
            <w:gridSpan w:val="2"/>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1660" w:type="dxa"/>
            <w:vAlign w:val="bottom"/>
            <w:tcBorders>
              <w:bottom w:val="single" w:sz="8" w:color="0000FF"/>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5300" w:type="dxa"/>
            <w:vAlign w:val="bottom"/>
            <w:gridSpan w:val="2"/>
          </w:tcPr>
          <w:p>
            <w:pPr>
              <w:spacing w:after="0"/>
              <w:rPr>
                <w:sz w:val="17"/>
                <w:szCs w:val="17"/>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108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Notes to the Consolidated Financial Statements</w:t>
            </w:r>
          </w:p>
        </w:tc>
        <w:tc>
          <w:tcPr>
            <w:tcW w:w="5300" w:type="dxa"/>
            <w:vAlign w:val="bottom"/>
            <w:gridSpan w:val="2"/>
          </w:tcPr>
          <w:p>
            <w:pPr>
              <w:spacing w:after="0"/>
              <w:rPr>
                <w:sz w:val="17"/>
                <w:szCs w:val="17"/>
                <w:color w:val="auto"/>
              </w:rPr>
            </w:pPr>
          </w:p>
        </w:tc>
        <w:tc>
          <w:tcPr>
            <w:tcW w:w="2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109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40" w:type="dxa"/>
            <w:vAlign w:val="bottom"/>
            <w:vMerge w:val="restart"/>
          </w:tcPr>
          <w:p>
            <w:pPr>
              <w:jc w:val="right"/>
              <w:ind w:right="4838"/>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Sonder Holdings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0"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Sonder Holdings Inc. and subsidiaries (the “Company”) as of December 31, 2023 and 2022, the related consolidated statements of operations and comprehensive loss, mezzanine equity and stockholders’ deficit, and cash flows, for each of the three years in the period ended</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6"/>
          <w:szCs w:val="16"/>
          <w:color w:val="auto"/>
        </w:rPr>
        <w:t>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200"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suffered recurring losses from operations and negative operating cash flows and is not in compliance with an affirmative debt covenant, which</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6"/>
          <w:szCs w:val="16"/>
          <w:color w:val="auto"/>
        </w:rPr>
        <w:t>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2022 and 2021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discussed in Note 2 to the financial statements, the accompanying 2022 and 2021 financial statements have been restated to correct misstatements.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Accounting Principle</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As discussed in Note 3 to the financial statements, effective January 1, 2022, the Company adopted FASB ASU No. 2016-02, Leases (“ASC 842”) using the optional transition method. This change in accounting principle is also communicated as a critical audit matter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w:t>
      </w:r>
    </w:p>
    <w:p>
      <w:pPr>
        <w:spacing w:after="0" w:line="5"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6"/>
          <w:szCs w:val="16"/>
          <w:color w:val="auto"/>
        </w:rPr>
        <w:t>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w:t>
      </w:r>
    </w:p>
    <w:p>
      <w:pPr>
        <w:spacing w:after="0" w:line="208" w:lineRule="auto"/>
        <w:rPr>
          <w:sz w:val="20"/>
          <w:szCs w:val="20"/>
          <w:color w:val="auto"/>
        </w:rPr>
      </w:pPr>
      <w:r>
        <w:rPr>
          <w:rFonts w:ascii="Times New Roman" w:cs="Times New Roman" w:eastAsia="Times New Roman" w:hAnsi="Times New Roman"/>
          <w:sz w:val="16"/>
          <w:szCs w:val="16"/>
          <w:color w:val="auto"/>
        </w:rPr>
        <w:t>included evaluating the accounting principles used and significant estimates made by management, as well as evaluating the overall presentation of the financial statements.</w:t>
      </w:r>
    </w:p>
    <w:p>
      <w:pPr>
        <w:spacing w:after="0"/>
        <w:rPr>
          <w:sz w:val="20"/>
          <w:szCs w:val="20"/>
          <w:color w:val="auto"/>
        </w:rPr>
      </w:pPr>
      <w:r>
        <w:rPr>
          <w:rFonts w:ascii="Times New Roman" w:cs="Times New Roman" w:eastAsia="Times New Roman" w:hAnsi="Times New Roman"/>
          <w:sz w:val="16"/>
          <w:szCs w:val="16"/>
          <w:color w:val="auto"/>
        </w:rPr>
        <w:t>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b w:val="1"/>
          <w:bCs w:val="1"/>
          <w:i w:val="1"/>
          <w:iCs w:val="1"/>
          <w:color w:val="auto"/>
        </w:rPr>
        <w:t>— Refer to Notes 1 and 9 to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The Company leases buildings or portions of buildings for guest usage, as warehouses to store furniture, and as corporate offices under operating lease agreements. The Company adopted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(“ASC 842”), effective January 1, 2022, using the modified retrospective method. As of December 31, 2023, lease ROU assets were $1.3 billion, current lease liabilities were $199 million, and non-current lease liabilities were $1.4 billion. In accordance with ASC 842, the Company determines whether an arrangement is or contains a lease, and how to account for the lease, based on the unique facts and circumstances present in the arrangement.</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Lease liabilities and their corresponding right-of-use (“ROU”) assets are recorded based on the present value of lease payments over the expected remaining lease term. The Company uses its incremental borrowing rate based on the information available at lease commencement date in determining the present value of lease payments used in measuring lease ROU assets and liabilities. The incremental borrowing rate reflects the fixed rate at which an entity could borrow on a collateralized basis the amount of the lease payments in the same currency, for a similar term, in a similar economic environment. Since the Company does not currently have a ratings agency-based credit rating, the Company estimates its incremental borrowing rate using a synthetic credit rating analysis, its estimated credit spread, and an estimated impact of collateral on the respective lease.</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identified the accounting for leases as a critical audit matter because of a) the complexities associated with evaluating the unique facts and circumstances, including those in contractual provisions, present in certain of the Company’s leases, and b) the significant estimates and assumptions made by the Company such as its credit rating, credit spread, and the impact of collateral in the determination of the incremental borrowing rate. This required extensive audit effort due to the volume and complexities of the Company’s leases and a high degree of auditor judgment and an increased extent of audit effort, including the need to involve our fair value specialists, when performing audit procedures to evaluate the reasonableness of estimates used in the Company’s accounting for leases and determination of the incremental borrowing 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accounting for leases included the following, among others:</w:t>
      </w:r>
    </w:p>
    <w:p>
      <w:pPr>
        <w:spacing w:after="0" w:line="208" w:lineRule="exact"/>
        <w:rPr>
          <w:sz w:val="20"/>
          <w:szCs w:val="20"/>
          <w:color w:val="auto"/>
        </w:rPr>
      </w:pPr>
    </w:p>
    <w:p>
      <w:pPr>
        <w:ind w:left="580" w:hanging="288"/>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selected a sample of leases and performed the following:</w:t>
      </w:r>
    </w:p>
    <w:p>
      <w:pPr>
        <w:spacing w:after="0" w:line="17" w:lineRule="exact"/>
        <w:rPr>
          <w:rFonts w:ascii="Times New Roman" w:cs="Times New Roman" w:eastAsia="Times New Roman" w:hAnsi="Times New Roman"/>
          <w:sz w:val="16"/>
          <w:szCs w:val="16"/>
          <w:color w:val="auto"/>
        </w:rPr>
      </w:pPr>
    </w:p>
    <w:p>
      <w:pPr>
        <w:ind w:left="1180" w:hanging="294"/>
        <w:spacing w:after="0" w:line="21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Tested the facts and circumstances used in the calculation of the ROU asset and the lease liability by agreeing the underlying inputs, such as the lease commencement date, lease term, and lease payments to executed lease agreements.</w:t>
      </w:r>
    </w:p>
    <w:p>
      <w:pPr>
        <w:ind w:left="880"/>
        <w:spacing w:after="0" w:line="2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Company’s application of ASC 842 to the facts and circumstances of the lease.</w:t>
      </w: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Tested the mathematical accuracy of the Company’s calculation of the lease ROU asset and lease liability.</w:t>
      </w:r>
    </w:p>
    <w:p>
      <w:pPr>
        <w:spacing w:after="0" w:line="18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fair value specialists, we:</w:t>
      </w:r>
    </w:p>
    <w:p>
      <w:pPr>
        <w:spacing w:after="0" w:line="17" w:lineRule="exact"/>
        <w:rPr>
          <w:rFonts w:ascii="Times New Roman" w:cs="Times New Roman" w:eastAsia="Times New Roman" w:hAnsi="Times New Roman"/>
          <w:sz w:val="16"/>
          <w:szCs w:val="16"/>
          <w:color w:val="auto"/>
        </w:rPr>
      </w:pPr>
    </w:p>
    <w:p>
      <w:pPr>
        <w:ind w:left="880"/>
        <w:spacing w:after="0" w:line="2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reasonableness of the methodology used by the Company in applying the principles of ASC 842 to estimate the incremental borrowing rate.</w:t>
      </w:r>
    </w:p>
    <w:p>
      <w:pPr>
        <w:ind w:left="1180" w:hanging="294"/>
        <w:spacing w:after="0" w:line="21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reasonableness of significant estimates and assumptions made by the Company such as its credit rating, credit spread, and the impact of collateral in the determination of the incremental borrowing rate by comparing them to the Company-specific benchmarks, information regarding comparable companies, and other market information.</w:t>
      </w:r>
    </w:p>
    <w:p>
      <w:pPr>
        <w:spacing w:after="0" w:line="2"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Tested the mathematical accuracy of the Company’s calculation used in determining the incremental borrowing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Long-lived Asset Impairment — Refer to Notes 1, 2, 7, and 9 to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Long-lived assets that are held and used by the Company, including ROU assets, are reviewed for impairment when events or changes in circumstances indicate that the carrying amount of the asset may not be recoverable.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necessary. Impairment charges recorded related to long-lived assets for the year ended December 31, 2023 were $59.2 million.</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identified long-lived asset impairment as a critical audit matter because the determination of the estimated future cash flows to assess the recoverability of long-lived assets requires significant management estimates and assumptions, specifically forecasting future revenue, property level costs, and costs of revenue. Additionally, the measurement of 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 also involves determination of the fair value of the Company’s asset group, which includes estimates of market rental rates and discount rates.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Performing audit procedures to evaluate the reasonableness of the Company’s assumptions used in assessing and measuring the impairment of long-lived assets involved a high degree of auditor judgment and an increased extent of effort, including the need to involve our fair value specialists and to deploy more experienced audit professionals.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Our audit procedures related to management's judgments regarding the estimated future cash flows, specifically projection of future revenue, property level costs, and costs of revenue growth assumptions and fair value of the asset group included the following, among others:</w:t>
      </w:r>
    </w:p>
    <w:p>
      <w:pPr>
        <w:spacing w:after="0" w:line="154" w:lineRule="exact"/>
        <w:rPr>
          <w:sz w:val="20"/>
          <w:szCs w:val="20"/>
          <w:color w:val="auto"/>
        </w:rPr>
      </w:pPr>
    </w:p>
    <w:p>
      <w:pPr>
        <w:ind w:left="580" w:hanging="288"/>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ability to reasonably estimate future cash flows by comparing actual results to management's historical forecasts.</w:t>
      </w:r>
    </w:p>
    <w:p>
      <w:pPr>
        <w:spacing w:after="0" w:line="17" w:lineRule="exact"/>
        <w:rPr>
          <w:rFonts w:ascii="Times New Roman" w:cs="Times New Roman" w:eastAsia="Times New Roman" w:hAnsi="Times New Roman"/>
          <w:sz w:val="16"/>
          <w:szCs w:val="16"/>
          <w:color w:val="auto"/>
        </w:rPr>
      </w:pPr>
    </w:p>
    <w:p>
      <w:pPr>
        <w:ind w:left="580" w:hanging="288"/>
        <w:spacing w:after="0" w:line="223" w:lineRule="auto"/>
        <w:tabs>
          <w:tab w:leader="none" w:pos="57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reasonableness of management's estimated future cash flows by comparing the projections to historical results, industry publications and other relevant publicly available information.</w:t>
      </w:r>
    </w:p>
    <w:p>
      <w:pPr>
        <w:ind w:left="580" w:hanging="288"/>
        <w:spacing w:after="0" w:line="231" w:lineRule="auto"/>
        <w:tabs>
          <w:tab w:leader="none" w:pos="57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fair value specialists, we evaluated the appropriateness of the methodology utilized by management to estimate the fair value of the asset group.</w:t>
      </w:r>
    </w:p>
    <w:p>
      <w:pPr>
        <w:ind w:left="580" w:hanging="288"/>
        <w:spacing w:after="0" w:line="237" w:lineRule="auto"/>
        <w:tabs>
          <w:tab w:leader="none" w:pos="57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mathematical accuracy and consistency of the application of the Company's valuation model with the assistance of our fair value specialists, including the fair market rental rates utilized by management to estimate the fair value of the asset group.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26, 2024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2019.</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December 31, 2023 and 2022</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2022</w:t>
            </w:r>
          </w:p>
        </w:tc>
      </w:tr>
      <w:tr>
        <w:trPr>
          <w:trHeight w:val="272"/>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3"/>
                <w:szCs w:val="13"/>
                <w:i w:val="1"/>
                <w:iCs w:val="1"/>
                <w:color w:val="auto"/>
              </w:rPr>
              <w:t>(As Restated)</w:t>
            </w:r>
          </w:p>
        </w:tc>
      </w:tr>
      <w:tr>
        <w:trPr>
          <w:trHeight w:val="23"/>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246,624</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42,562</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136,497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289,186</w:t>
            </w:r>
          </w:p>
        </w:tc>
      </w:tr>
      <w:tr>
        <w:trPr>
          <w:trHeight w:val="219"/>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$6,196 and $972 at December 31, 2023 and 2022, respectively</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6,462</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8,776</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313,848</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32,606</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1,322,135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1,136,647</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8"/>
        </w:trPr>
        <w:tc>
          <w:tcPr>
            <w:tcW w:w="7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1,498,626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16,471</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33,896</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41,664</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153,789</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506,236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260,428</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1,389,580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1,163,233</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172,950</w:t>
            </w: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9"/>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1,897,968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1,600,111</w:t>
            </w:r>
          </w:p>
        </w:tc>
      </w:tr>
      <w:tr>
        <w:trPr>
          <w:trHeight w:val="176"/>
        </w:trPr>
        <w:tc>
          <w:tcPr>
            <w:tcW w:w="79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196"/>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5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Common stock </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7"/>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Additional paid-in capital </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977,503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949,001</w:t>
            </w:r>
          </w:p>
        </w:tc>
      </w:tr>
      <w:tr>
        <w:trPr>
          <w:trHeight w:val="219"/>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13,026</w:t>
            </w:r>
          </w:p>
        </w:tc>
      </w:tr>
      <w:tr>
        <w:trPr>
          <w:trHeight w:val="38"/>
        </w:trPr>
        <w:tc>
          <w:tcPr>
            <w:tcW w:w="7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7"/>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(1,359,181)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(1,063,513)</w:t>
            </w:r>
          </w:p>
        </w:tc>
      </w:tr>
      <w:tr>
        <w:trPr>
          <w:trHeight w:val="212"/>
        </w:trPr>
        <w:tc>
          <w:tcPr>
            <w:tcW w:w="7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(376,701)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(101,485)</w:t>
            </w:r>
          </w:p>
        </w:tc>
      </w:tr>
      <w:tr>
        <w:trPr>
          <w:trHeight w:val="38"/>
        </w:trPr>
        <w:tc>
          <w:tcPr>
            <w:tcW w:w="7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8"/>
        </w:trPr>
        <w:tc>
          <w:tcPr>
            <w:tcW w:w="79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1,498,626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ind w:left="222" w:right="20" w:hanging="222"/>
        <w:spacing w:after="0" w:line="223" w:lineRule="auto"/>
        <w:tabs>
          <w:tab w:leader="none" w:pos="149"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19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62"/>
          </w:cols>
          <w:pgMar w:left="318" w:top="123" w:right="31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type w:val="continuous"/>
        </w:sectPr>
      </w:pPr>
    </w:p>
    <w:bookmarkStart w:id="104" w:name="page105"/>
    <w:bookmarkEnd w:id="104"/>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20" w:right="2540"/>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SONDER HOLDINGS INC. AND SUBSIDIARIES CONSOLIDATED STATEMENTS OF OPERATIONS AND COMPREHENSIVE LOSS Years ended December 31, 2023, 2022, and 2021 </w:t>
      </w:r>
      <w:r>
        <w:rPr>
          <w:rFonts w:ascii="Times New Roman" w:cs="Times New Roman" w:eastAsia="Times New Roman" w:hAnsi="Times New Roman"/>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72"/>
        </w:trPr>
        <w:tc>
          <w:tcPr>
            <w:tcW w:w="6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3"/>
                <w:szCs w:val="13"/>
                <w:i w:val="1"/>
                <w:iCs w:val="1"/>
                <w:color w:val="auto"/>
              </w:rPr>
              <w:t>(As Restated)</w:t>
            </w:r>
          </w:p>
        </w:tc>
        <w:tc>
          <w:tcPr>
            <w:tcW w:w="280" w:type="dxa"/>
            <w:vAlign w:val="bottom"/>
          </w:tcPr>
          <w:p>
            <w:pPr>
              <w:spacing w:after="0"/>
              <w:rPr>
                <w:sz w:val="23"/>
                <w:szCs w:val="23"/>
                <w:color w:val="auto"/>
              </w:rPr>
            </w:pPr>
          </w:p>
        </w:tc>
        <w:tc>
          <w:tcPr>
            <w:tcW w:w="1320" w:type="dxa"/>
            <w:vAlign w:val="bottom"/>
          </w:tcPr>
          <w:p>
            <w:pPr>
              <w:jc w:val="right"/>
              <w:ind w:right="379"/>
              <w:spacing w:after="0"/>
              <w:rPr>
                <w:sz w:val="20"/>
                <w:szCs w:val="20"/>
                <w:color w:val="auto"/>
              </w:rPr>
            </w:pPr>
            <w:r>
              <w:rPr>
                <w:rFonts w:ascii="Times New Roman" w:cs="Times New Roman" w:eastAsia="Times New Roman" w:hAnsi="Times New Roman"/>
                <w:sz w:val="13"/>
                <w:szCs w:val="13"/>
                <w:i w:val="1"/>
                <w:iCs w:val="1"/>
                <w:color w:val="auto"/>
              </w:rPr>
              <w:t>(As Restated)</w:t>
            </w:r>
          </w:p>
        </w:tc>
        <w:tc>
          <w:tcPr>
            <w:tcW w:w="0" w:type="dxa"/>
            <w:vAlign w:val="bottom"/>
          </w:tcPr>
          <w:p>
            <w:pPr>
              <w:spacing w:after="0"/>
              <w:rPr>
                <w:sz w:val="1"/>
                <w:szCs w:val="1"/>
                <w:color w:val="auto"/>
              </w:rPr>
            </w:pPr>
          </w:p>
        </w:tc>
      </w:tr>
      <w:tr>
        <w:trPr>
          <w:trHeight w:val="23"/>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602,066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234,145</w:t>
            </w:r>
          </w:p>
        </w:tc>
        <w:tc>
          <w:tcPr>
            <w:tcW w:w="0" w:type="dxa"/>
            <w:vAlign w:val="bottom"/>
          </w:tcPr>
          <w:p>
            <w:pPr>
              <w:spacing w:after="0"/>
              <w:rPr>
                <w:sz w:val="1"/>
                <w:szCs w:val="1"/>
                <w:color w:val="auto"/>
              </w:rPr>
            </w:pPr>
          </w:p>
        </w:tc>
      </w:tr>
      <w:tr>
        <w:trPr>
          <w:trHeight w:val="219"/>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202,323</w:t>
            </w:r>
          </w:p>
        </w:tc>
        <w:tc>
          <w:tcPr>
            <w:tcW w:w="0" w:type="dxa"/>
            <w:vAlign w:val="bottom"/>
          </w:tcPr>
          <w:p>
            <w:pPr>
              <w:spacing w:after="0"/>
              <w:rPr>
                <w:sz w:val="1"/>
                <w:szCs w:val="1"/>
                <w:color w:val="auto"/>
              </w:rPr>
            </w:pPr>
          </w:p>
        </w:tc>
      </w:tr>
      <w:tr>
        <w:trPr>
          <w:trHeight w:val="219"/>
        </w:trPr>
        <w:tc>
          <w:tcPr>
            <w:tcW w:w="6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143,083</w:t>
            </w:r>
          </w:p>
        </w:tc>
        <w:tc>
          <w:tcPr>
            <w:tcW w:w="0" w:type="dxa"/>
            <w:vAlign w:val="bottom"/>
          </w:tcPr>
          <w:p>
            <w:pPr>
              <w:spacing w:after="0"/>
              <w:rPr>
                <w:sz w:val="1"/>
                <w:szCs w:val="1"/>
                <w:color w:val="auto"/>
              </w:rPr>
            </w:pPr>
          </w:p>
        </w:tc>
      </w:tr>
      <w:tr>
        <w:trPr>
          <w:trHeight w:val="38"/>
        </w:trPr>
        <w:tc>
          <w:tcPr>
            <w:tcW w:w="6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105,671</w:t>
            </w:r>
          </w:p>
        </w:tc>
        <w:tc>
          <w:tcPr>
            <w:tcW w:w="0" w:type="dxa"/>
            <w:vAlign w:val="bottom"/>
          </w:tcPr>
          <w:p>
            <w:pPr>
              <w:spacing w:after="0"/>
              <w:rPr>
                <w:sz w:val="1"/>
                <w:szCs w:val="1"/>
                <w:color w:val="auto"/>
              </w:rPr>
            </w:pPr>
          </w:p>
        </w:tc>
      </w:tr>
      <w:tr>
        <w:trPr>
          <w:trHeight w:val="219"/>
        </w:trPr>
        <w:tc>
          <w:tcPr>
            <w:tcW w:w="6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0" w:type="dxa"/>
            <w:vAlign w:val="bottom"/>
          </w:tcPr>
          <w:p>
            <w:pPr>
              <w:spacing w:after="0"/>
              <w:rPr>
                <w:sz w:val="1"/>
                <w:szCs w:val="1"/>
                <w:color w:val="auto"/>
              </w:rPr>
            </w:pPr>
          </w:p>
        </w:tc>
      </w:tr>
      <w:tr>
        <w:trPr>
          <w:trHeight w:val="38"/>
        </w:trPr>
        <w:tc>
          <w:tcPr>
            <w:tcW w:w="6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23,490</w:t>
            </w:r>
          </w:p>
        </w:tc>
        <w:tc>
          <w:tcPr>
            <w:tcW w:w="0" w:type="dxa"/>
            <w:vAlign w:val="bottom"/>
          </w:tcPr>
          <w:p>
            <w:pPr>
              <w:spacing w:after="0"/>
              <w:rPr>
                <w:sz w:val="1"/>
                <w:szCs w:val="1"/>
                <w:color w:val="auto"/>
              </w:rPr>
            </w:pPr>
          </w:p>
        </w:tc>
      </w:tr>
      <w:tr>
        <w:trPr>
          <w:trHeight w:val="251"/>
        </w:trPr>
        <w:tc>
          <w:tcPr>
            <w:tcW w:w="6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493,658</w:t>
            </w:r>
          </w:p>
        </w:tc>
        <w:tc>
          <w:tcPr>
            <w:tcW w:w="0" w:type="dxa"/>
            <w:vAlign w:val="bottom"/>
          </w:tcPr>
          <w:p>
            <w:pPr>
              <w:spacing w:after="0"/>
              <w:rPr>
                <w:sz w:val="1"/>
                <w:szCs w:val="1"/>
                <w:color w:val="auto"/>
              </w:rPr>
            </w:pPr>
          </w:p>
        </w:tc>
      </w:tr>
      <w:tr>
        <w:trPr>
          <w:trHeight w:val="38"/>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(278,042)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(259,513)</w:t>
            </w:r>
          </w:p>
        </w:tc>
        <w:tc>
          <w:tcPr>
            <w:tcW w:w="0" w:type="dxa"/>
            <w:vAlign w:val="bottom"/>
          </w:tcPr>
          <w:p>
            <w:pPr>
              <w:spacing w:after="0"/>
              <w:rPr>
                <w:sz w:val="1"/>
                <w:szCs w:val="1"/>
                <w:color w:val="auto"/>
              </w:rPr>
            </w:pPr>
          </w:p>
        </w:tc>
      </w:tr>
      <w:tr>
        <w:trPr>
          <w:trHeight w:val="233"/>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0" w:type="dxa"/>
            <w:vAlign w:val="bottom"/>
          </w:tcPr>
          <w:p>
            <w:pPr>
              <w:spacing w:after="0"/>
              <w:rPr>
                <w:sz w:val="1"/>
                <w:szCs w:val="1"/>
                <w:color w:val="auto"/>
              </w:rPr>
            </w:pPr>
          </w:p>
        </w:tc>
      </w:tr>
      <w:tr>
        <w:trPr>
          <w:trHeight w:val="219"/>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
        </w:trPr>
        <w:tc>
          <w:tcPr>
            <w:tcW w:w="6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 conversion of convertible</w:t>
            </w:r>
          </w:p>
        </w:tc>
        <w:tc>
          <w:tcPr>
            <w:tcW w:w="360" w:type="dxa"/>
            <w:vAlign w:val="bottom"/>
          </w:tcPr>
          <w:p>
            <w:pPr>
              <w:spacing w:after="0"/>
              <w:rPr>
                <w:sz w:val="18"/>
                <w:szCs w:val="18"/>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w:t>
            </w: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0" w:type="dxa"/>
            <w:vAlign w:val="bottom"/>
          </w:tcPr>
          <w:p>
            <w:pPr>
              <w:spacing w:after="0"/>
              <w:rPr>
                <w:sz w:val="1"/>
                <w:szCs w:val="1"/>
                <w:color w:val="auto"/>
              </w:rPr>
            </w:pPr>
          </w:p>
        </w:tc>
      </w:tr>
      <w:tr>
        <w:trPr>
          <w:trHeight w:val="212"/>
        </w:trPr>
        <w:tc>
          <w:tcPr>
            <w:tcW w:w="6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34,200</w:t>
            </w:r>
          </w:p>
        </w:tc>
        <w:tc>
          <w:tcPr>
            <w:tcW w:w="0" w:type="dxa"/>
            <w:vAlign w:val="bottom"/>
          </w:tcPr>
          <w:p>
            <w:pPr>
              <w:spacing w:after="0"/>
              <w:rPr>
                <w:sz w:val="1"/>
                <w:szCs w:val="1"/>
                <w:color w:val="auto"/>
              </w:rPr>
            </w:pPr>
          </w:p>
        </w:tc>
      </w:tr>
      <w:tr>
        <w:trPr>
          <w:trHeight w:val="38"/>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(293,713)</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38"/>
        </w:trPr>
        <w:tc>
          <w:tcPr>
            <w:tcW w:w="63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300" w:type="dxa"/>
            <w:vAlign w:val="bottom"/>
            <w:tcBorders>
              <w:bottom w:val="single" w:sz="8" w:color="CCEEFF"/>
            </w:tcBorders>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Basic and diluted net loss per common share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(293,955)</w:t>
            </w:r>
          </w:p>
        </w:tc>
        <w:tc>
          <w:tcPr>
            <w:tcW w:w="0" w:type="dxa"/>
            <w:vAlign w:val="bottom"/>
          </w:tcPr>
          <w:p>
            <w:pPr>
              <w:spacing w:after="0"/>
              <w:rPr>
                <w:sz w:val="1"/>
                <w:szCs w:val="1"/>
                <w:color w:val="auto"/>
              </w:rPr>
            </w:pPr>
          </w:p>
        </w:tc>
      </w:tr>
      <w:tr>
        <w:trPr>
          <w:trHeight w:val="38"/>
        </w:trPr>
        <w:tc>
          <w:tcPr>
            <w:tcW w:w="6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(303,718)</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(239,304)</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(292,322)</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149"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19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STOCKHOLDERS’ DEFICIT</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Years ended December 31, 2023, 2022, and 2021</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center"/>
              <w:ind w:left="207"/>
              <w:spacing w:after="0"/>
              <w:rPr>
                <w:sz w:val="20"/>
                <w:szCs w:val="20"/>
                <w:color w:val="auto"/>
              </w:rPr>
            </w:pPr>
            <w:r>
              <w:rPr>
                <w:rFonts w:ascii="Times New Roman" w:cs="Times New Roman" w:eastAsia="Times New Roman" w:hAnsi="Times New Roman"/>
                <w:sz w:val="15"/>
                <w:szCs w:val="15"/>
                <w:color w:val="auto"/>
                <w:w w:val="97"/>
              </w:rPr>
              <w:t>Post-</w:t>
            </w: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48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color w:val="auto"/>
                <w:w w:val="99"/>
              </w:rPr>
              <w:t>Redeemable</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9"/>
              </w:rPr>
              <w:t>Combination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48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color w:val="auto"/>
                <w:w w:val="96"/>
              </w:rPr>
              <w:t>Convertible Preferred</w:t>
            </w:r>
          </w:p>
        </w:tc>
        <w:tc>
          <w:tcPr>
            <w:tcW w:w="1340" w:type="dxa"/>
            <w:vAlign w:val="bottom"/>
            <w:tcBorders>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5"/>
                <w:szCs w:val="15"/>
                <w:color w:val="auto"/>
                <w:w w:val="97"/>
              </w:rPr>
              <w:t>Exchangeable</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7"/>
              </w:rPr>
              <w:t>Exchangeable</w:t>
            </w:r>
          </w:p>
        </w:tc>
        <w:tc>
          <w:tcPr>
            <w:tcW w:w="114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7"/>
              </w:rPr>
              <w:t>Exchangeable</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Additional</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Accumulated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61"/>
        </w:trPr>
        <w:tc>
          <w:tcPr>
            <w:tcW w:w="1140" w:type="dxa"/>
            <w:vAlign w:val="bottom"/>
          </w:tcPr>
          <w:p>
            <w:pPr>
              <w:spacing w:after="0"/>
              <w:rPr>
                <w:sz w:val="5"/>
                <w:szCs w:val="5"/>
                <w:color w:val="auto"/>
              </w:rPr>
            </w:pPr>
          </w:p>
        </w:tc>
        <w:tc>
          <w:tcPr>
            <w:tcW w:w="14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5"/>
                <w:szCs w:val="15"/>
                <w:color w:val="auto"/>
                <w:w w:val="99"/>
              </w:rPr>
              <w:t>Stock</w:t>
            </w:r>
          </w:p>
        </w:tc>
        <w:tc>
          <w:tcPr>
            <w:tcW w:w="1340" w:type="dxa"/>
            <w:vAlign w:val="bottom"/>
            <w:tcBorders>
              <w:right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w w:val="98"/>
              </w:rPr>
              <w:t>Preferred Stock</w:t>
            </w:r>
          </w:p>
        </w:tc>
        <w:tc>
          <w:tcPr>
            <w:tcW w:w="60" w:type="dxa"/>
            <w:vAlign w:val="bottom"/>
          </w:tcPr>
          <w:p>
            <w:pPr>
              <w:spacing w:after="0"/>
              <w:rPr>
                <w:sz w:val="5"/>
                <w:szCs w:val="5"/>
                <w:color w:val="auto"/>
              </w:rPr>
            </w:pPr>
          </w:p>
        </w:tc>
        <w:tc>
          <w:tcPr>
            <w:tcW w:w="13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5"/>
                <w:szCs w:val="15"/>
                <w:color w:val="auto"/>
              </w:rPr>
              <w:t>Common Stock</w:t>
            </w:r>
          </w:p>
        </w:tc>
        <w:tc>
          <w:tcPr>
            <w:tcW w:w="12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7"/>
              </w:rPr>
              <w:t>Series AA Stock</w:t>
            </w:r>
          </w:p>
        </w:tc>
        <w:tc>
          <w:tcPr>
            <w:tcW w:w="11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5"/>
              </w:rPr>
              <w:t>Common Stock</w:t>
            </w:r>
          </w:p>
        </w:tc>
        <w:tc>
          <w:tcPr>
            <w:tcW w:w="740" w:type="dxa"/>
            <w:vAlign w:val="bottom"/>
            <w:gridSpan w:val="3"/>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1340" w:type="dxa"/>
            <w:vAlign w:val="bottom"/>
            <w:tcBorders>
              <w:right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center"/>
              <w:ind w:right="180"/>
              <w:spacing w:after="0" w:line="159" w:lineRule="exact"/>
              <w:rPr>
                <w:sz w:val="20"/>
                <w:szCs w:val="20"/>
                <w:color w:val="auto"/>
              </w:rPr>
            </w:pPr>
            <w:r>
              <w:rPr>
                <w:rFonts w:ascii="Times New Roman" w:cs="Times New Roman" w:eastAsia="Times New Roman" w:hAnsi="Times New Roman"/>
                <w:sz w:val="15"/>
                <w:szCs w:val="15"/>
                <w:color w:val="auto"/>
                <w:w w:val="96"/>
              </w:rPr>
              <w:t>Paid-in</w:t>
            </w:r>
          </w:p>
        </w:tc>
        <w:tc>
          <w:tcPr>
            <w:tcW w:w="900" w:type="dxa"/>
            <w:vAlign w:val="bottom"/>
            <w:gridSpan w:val="3"/>
            <w:vMerge w:val="restart"/>
          </w:tcPr>
          <w:p>
            <w:pPr>
              <w:ind w:left="60"/>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880" w:type="dxa"/>
            <w:vAlign w:val="bottom"/>
            <w:gridSpan w:val="3"/>
            <w:vMerge w:val="restart"/>
          </w:tcPr>
          <w:p>
            <w:pPr>
              <w:spacing w:after="0" w:line="159" w:lineRule="exact"/>
              <w:rPr>
                <w:sz w:val="20"/>
                <w:szCs w:val="20"/>
                <w:color w:val="auto"/>
              </w:rPr>
            </w:pPr>
            <w:r>
              <w:rPr>
                <w:rFonts w:ascii="Times New Roman" w:cs="Times New Roman" w:eastAsia="Times New Roman" w:hAnsi="Times New Roman"/>
                <w:sz w:val="15"/>
                <w:szCs w:val="15"/>
                <w:color w:val="auto"/>
              </w:rPr>
              <w:t>Accumulated</w:t>
            </w:r>
          </w:p>
        </w:tc>
        <w:tc>
          <w:tcPr>
            <w:tcW w:w="86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5"/>
                <w:szCs w:val="15"/>
                <w:color w:val="auto"/>
                <w:w w:val="98"/>
              </w:rPr>
              <w:t>Stockholders’</w:t>
            </w: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6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Amount</w:t>
            </w:r>
          </w:p>
        </w:tc>
        <w:tc>
          <w:tcPr>
            <w:tcW w:w="6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w w:val="92"/>
              </w:rPr>
              <w:t>Capital</w:t>
            </w:r>
            <w:r>
              <w:rPr>
                <w:rFonts w:ascii="Times New Roman" w:cs="Times New Roman" w:eastAsia="Times New Roman" w:hAnsi="Times New Roman"/>
                <w:sz w:val="19"/>
                <w:szCs w:val="19"/>
                <w:color w:val="auto"/>
                <w:w w:val="92"/>
                <w:vertAlign w:val="superscript"/>
              </w:rPr>
              <w:t>(1)</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Adjustment</w:t>
            </w:r>
          </w:p>
        </w:tc>
        <w:tc>
          <w:tcPr>
            <w:tcW w:w="14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Deficit</w:t>
            </w:r>
          </w:p>
        </w:tc>
        <w:tc>
          <w:tcPr>
            <w:tcW w:w="160" w:type="dxa"/>
            <w:vAlign w:val="bottom"/>
          </w:tcPr>
          <w:p>
            <w:pPr>
              <w:spacing w:after="0"/>
              <w:rPr>
                <w:sz w:val="19"/>
                <w:szCs w:val="19"/>
                <w:color w:val="auto"/>
              </w:rPr>
            </w:pPr>
          </w:p>
        </w:tc>
        <w:tc>
          <w:tcPr>
            <w:tcW w:w="7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Deficit</w:t>
            </w:r>
          </w:p>
        </w:tc>
        <w:tc>
          <w:tcPr>
            <w:tcW w:w="0" w:type="dxa"/>
            <w:vAlign w:val="bottom"/>
          </w:tcPr>
          <w:p>
            <w:pPr>
              <w:spacing w:after="0"/>
              <w:rPr>
                <w:sz w:val="1"/>
                <w:szCs w:val="1"/>
                <w:color w:val="auto"/>
              </w:rPr>
            </w:pPr>
          </w:p>
        </w:tc>
      </w:tr>
      <w:tr>
        <w:trPr>
          <w:trHeight w:val="139"/>
        </w:trPr>
        <w:tc>
          <w:tcPr>
            <w:tcW w:w="1140" w:type="dxa"/>
            <w:vAlign w:val="bottom"/>
            <w:tcBorders>
              <w:top w:val="single" w:sz="8" w:color="CCEEFF"/>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December 31,</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2020 (As</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Restated)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3,783,233</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$ 517,730</w:t>
            </w: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630,308</w:t>
            </w: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$ 49,733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358,487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471,868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8"/>
              </w:rPr>
              <w:t>(524,527)</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(504,962)</w:t>
            </w: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Retroactive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80"/>
              <w:spacing w:after="0" w:line="172" w:lineRule="exact"/>
              <w:rPr>
                <w:sz w:val="20"/>
                <w:szCs w:val="20"/>
                <w:color w:val="auto"/>
              </w:rPr>
            </w:pPr>
            <w:r>
              <w:rPr>
                <w:rFonts w:ascii="Times New Roman" w:cs="Times New Roman" w:eastAsia="Times New Roman" w:hAnsi="Times New Roman"/>
                <w:sz w:val="15"/>
                <w:szCs w:val="15"/>
                <w:color w:val="auto"/>
              </w:rPr>
              <w:t>adjustment to</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reflect the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80"/>
              <w:spacing w:after="0" w:line="172" w:lineRule="exact"/>
              <w:rPr>
                <w:sz w:val="20"/>
                <w:szCs w:val="20"/>
                <w:color w:val="auto"/>
              </w:rPr>
            </w:pPr>
            <w:r>
              <w:rPr>
                <w:rFonts w:ascii="Times New Roman" w:cs="Times New Roman" w:eastAsia="Times New Roman" w:hAnsi="Times New Roman"/>
                <w:sz w:val="15"/>
                <w:szCs w:val="15"/>
                <w:color w:val="auto"/>
              </w:rPr>
              <w:t>exchange ratio</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80"/>
              <w:spacing w:after="0" w:line="159" w:lineRule="exact"/>
              <w:rPr>
                <w:sz w:val="20"/>
                <w:szCs w:val="20"/>
                <w:color w:val="auto"/>
              </w:rPr>
            </w:pPr>
            <w:r>
              <w:rPr>
                <w:rFonts w:ascii="Times New Roman" w:cs="Times New Roman" w:eastAsia="Times New Roman" w:hAnsi="Times New Roman"/>
                <w:sz w:val="15"/>
                <w:szCs w:val="15"/>
                <w:color w:val="auto"/>
              </w:rPr>
              <w:t>due to business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combination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1,772,818</w:t>
            </w:r>
          </w:p>
        </w:tc>
        <w:tc>
          <w:tcPr>
            <w:tcW w:w="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295,361</w:t>
            </w:r>
          </w:p>
        </w:tc>
        <w:tc>
          <w:tcPr>
            <w:tcW w:w="60" w:type="dxa"/>
            <w:vAlign w:val="bottom"/>
          </w:tcPr>
          <w:p>
            <w:pPr>
              <w:spacing w:after="0"/>
              <w:rPr>
                <w:sz w:val="16"/>
                <w:szCs w:val="16"/>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221,116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1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Balance at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December 31,</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2020 (As</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Adjusted and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5,556,051</w:t>
            </w:r>
          </w:p>
        </w:tc>
        <w:tc>
          <w:tcPr>
            <w:tcW w:w="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$ 517,730</w:t>
            </w:r>
          </w:p>
        </w:tc>
        <w:tc>
          <w:tcPr>
            <w:tcW w:w="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925,669</w:t>
            </w:r>
          </w:p>
        </w:tc>
        <w:tc>
          <w:tcPr>
            <w:tcW w:w="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$ 49,733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526,474</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692,984</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13,899</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8"/>
              </w:rPr>
              <w:t>(524,527)</w:t>
            </w:r>
          </w:p>
        </w:tc>
        <w:tc>
          <w:tcPr>
            <w:tcW w:w="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(504,962)</w:t>
            </w:r>
          </w:p>
        </w:tc>
        <w:tc>
          <w:tcPr>
            <w:tcW w:w="0" w:type="dxa"/>
            <w:vAlign w:val="bottom"/>
          </w:tcPr>
          <w:p>
            <w:pPr>
              <w:spacing w:after="0"/>
              <w:rPr>
                <w:sz w:val="1"/>
                <w:szCs w:val="1"/>
                <w:color w:val="auto"/>
              </w:rPr>
            </w:pPr>
          </w:p>
        </w:tc>
      </w:tr>
      <w:tr>
        <w:trPr>
          <w:trHeight w:val="208"/>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Restated)</w:t>
            </w:r>
          </w:p>
        </w:tc>
        <w:tc>
          <w:tcPr>
            <w:tcW w:w="7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Series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E Convertible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6,819</w:t>
            </w:r>
          </w:p>
        </w:tc>
        <w:tc>
          <w:tcPr>
            <w:tcW w:w="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60" w:type="dxa"/>
            <w:vAlign w:val="bottom"/>
          </w:tcPr>
          <w:p>
            <w:pPr>
              <w:spacing w:after="0"/>
              <w:rPr>
                <w:sz w:val="14"/>
                <w:szCs w:val="14"/>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Exchange of</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Series AA stock</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to common</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Exchange of</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Exchangeable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Preferred Stock</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to Convertible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6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60" w:type="dxa"/>
            <w:vAlign w:val="bottom"/>
          </w:tcPr>
          <w:p>
            <w:pPr>
              <w:spacing w:after="0"/>
              <w:rPr>
                <w:sz w:val="14"/>
                <w:szCs w:val="14"/>
                <w:color w:val="auto"/>
              </w:rPr>
            </w:pP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Exercise of</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common stock</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w:t>
            </w:r>
          </w:p>
        </w:tc>
        <w:tc>
          <w:tcPr>
            <w:tcW w:w="0" w:type="dxa"/>
            <w:vAlign w:val="bottom"/>
          </w:tcPr>
          <w:p>
            <w:pPr>
              <w:spacing w:after="0"/>
              <w:rPr>
                <w:sz w:val="1"/>
                <w:szCs w:val="1"/>
                <w:color w:val="auto"/>
              </w:rPr>
            </w:pPr>
          </w:p>
        </w:tc>
      </w:tr>
      <w:tr>
        <w:trPr>
          <w:trHeight w:val="208"/>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76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Exercise of</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common stock</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4,117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00"/>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warrants</w:t>
            </w:r>
          </w:p>
        </w:tc>
        <w:tc>
          <w:tcPr>
            <w:tcW w:w="76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Stock-based</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25,247</w:t>
            </w: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Components of</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comprehensive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Net loss (As</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Restated)</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8"/>
              </w:rPr>
              <w:t>(293,955)</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(293,955)</w:t>
            </w:r>
          </w:p>
        </w:tc>
        <w:tc>
          <w:tcPr>
            <w:tcW w:w="0" w:type="dxa"/>
            <w:vAlign w:val="bottom"/>
          </w:tcPr>
          <w:p>
            <w:pPr>
              <w:spacing w:after="0"/>
              <w:rPr>
                <w:sz w:val="1"/>
                <w:szCs w:val="1"/>
                <w:color w:val="auto"/>
              </w:rPr>
            </w:pPr>
          </w:p>
        </w:tc>
      </w:tr>
      <w:tr>
        <w:trPr>
          <w:trHeight w:val="159"/>
        </w:trPr>
        <w:tc>
          <w:tcPr>
            <w:tcW w:w="11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Change in</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1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cumulative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1,633</w:t>
            </w:r>
          </w:p>
        </w:tc>
        <w:tc>
          <w:tcPr>
            <w:tcW w:w="0" w:type="dxa"/>
            <w:vAlign w:val="bottom"/>
          </w:tcPr>
          <w:p>
            <w:pPr>
              <w:spacing w:after="0"/>
              <w:rPr>
                <w:sz w:val="1"/>
                <w:szCs w:val="1"/>
                <w:color w:val="auto"/>
              </w:rPr>
            </w:pPr>
          </w:p>
        </w:tc>
      </w:tr>
      <w:tr>
        <w:trPr>
          <w:trHeight w:val="29"/>
        </w:trPr>
        <w:tc>
          <w:tcPr>
            <w:tcW w:w="1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Balance at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December 31,</w:t>
            </w: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2021 (As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5,563,569</w:t>
            </w:r>
          </w:p>
        </w:tc>
        <w:tc>
          <w:tcPr>
            <w:tcW w:w="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$ 518,750</w:t>
            </w:r>
          </w:p>
        </w:tc>
        <w:tc>
          <w:tcPr>
            <w:tcW w:w="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924,970</w:t>
            </w: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$ 49,733</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637,608</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691,797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43,107</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8"/>
              </w:rPr>
              <w:t>(818,482)</w:t>
            </w:r>
          </w:p>
        </w:tc>
        <w:tc>
          <w:tcPr>
            <w:tcW w:w="6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(768,076)</w:t>
            </w:r>
          </w:p>
        </w:tc>
        <w:tc>
          <w:tcPr>
            <w:tcW w:w="0" w:type="dxa"/>
            <w:vAlign w:val="bottom"/>
          </w:tcPr>
          <w:p>
            <w:pPr>
              <w:spacing w:after="0"/>
              <w:rPr>
                <w:sz w:val="1"/>
                <w:szCs w:val="1"/>
                <w:color w:val="auto"/>
              </w:rPr>
            </w:pPr>
          </w:p>
        </w:tc>
      </w:tr>
      <w:tr>
        <w:trPr>
          <w:trHeight w:val="213"/>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Restated)</w:t>
            </w:r>
          </w:p>
        </w:tc>
        <w:tc>
          <w:tcPr>
            <w:tcW w:w="7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 xml:space="preserve">STOCKHOLDERS’ DEFICIT </w:t>
      </w:r>
      <w:r>
        <w:rPr>
          <w:rFonts w:ascii="Times New Roman" w:cs="Times New Roman" w:eastAsia="Times New Roman" w:hAnsi="Times New Roman"/>
          <w:sz w:val="16"/>
          <w:szCs w:val="16"/>
          <w:b w:val="1"/>
          <w:bCs w:val="1"/>
          <w:i w:val="1"/>
          <w:iCs w:val="1"/>
          <w:color w:val="auto"/>
        </w:rPr>
        <w:t>(continued)</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Years ended December 31, 2023, 2022, and 2021</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ectPr>
          <w:pgSz w:w="11900" w:h="16838" w:orient="portrait"/>
          <w:cols w:equalWidth="0" w:num="1">
            <w:col w:w="10139"/>
          </w:cols>
          <w:pgMar w:left="320" w:top="123"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8"/>
        </w:trPr>
        <w:tc>
          <w:tcPr>
            <w:tcW w:w="1060" w:type="dxa"/>
            <w:vAlign w:val="bottom"/>
          </w:tcPr>
          <w:p>
            <w:pPr>
              <w:spacing w:after="0"/>
              <w:rPr>
                <w:sz w:val="18"/>
                <w:szCs w:val="18"/>
                <w:color w:val="auto"/>
              </w:rPr>
            </w:pPr>
          </w:p>
        </w:tc>
        <w:tc>
          <w:tcPr>
            <w:tcW w:w="150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5"/>
                <w:szCs w:val="15"/>
                <w:color w:val="auto"/>
                <w:w w:val="99"/>
              </w:rPr>
              <w:t>Redeemable</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5"/>
                <w:szCs w:val="15"/>
                <w:color w:val="auto"/>
                <w:w w:val="97"/>
              </w:rPr>
              <w:t>Post-Combination</w:t>
            </w: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5"/>
                <w:szCs w:val="15"/>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color w:val="auto"/>
                <w:w w:val="98"/>
              </w:rPr>
              <w:t>Convertible Preferred</w:t>
            </w:r>
          </w:p>
        </w:tc>
        <w:tc>
          <w:tcPr>
            <w:tcW w:w="1320" w:type="dxa"/>
            <w:vAlign w:val="bottom"/>
            <w:tcBorders>
              <w:right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5"/>
                <w:szCs w:val="15"/>
                <w:color w:val="auto"/>
                <w:w w:val="97"/>
              </w:rPr>
              <w:t>Exchangeable</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color w:val="auto"/>
                <w:w w:val="97"/>
              </w:rPr>
              <w:t>Exchangeable</w:t>
            </w:r>
          </w:p>
        </w:tc>
        <w:tc>
          <w:tcPr>
            <w:tcW w:w="132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color w:val="auto"/>
                <w:w w:val="97"/>
              </w:rPr>
              <w:t>Exchangeable</w:t>
            </w:r>
          </w:p>
        </w:tc>
        <w:tc>
          <w:tcPr>
            <w:tcW w:w="1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Additional  Accumulated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Total</w:t>
            </w:r>
          </w:p>
        </w:tc>
        <w:tc>
          <w:tcPr>
            <w:tcW w:w="0" w:type="dxa"/>
            <w:vAlign w:val="bottom"/>
          </w:tcPr>
          <w:p>
            <w:pPr>
              <w:spacing w:after="0"/>
              <w:rPr>
                <w:sz w:val="1"/>
                <w:szCs w:val="1"/>
                <w:color w:val="auto"/>
              </w:rPr>
            </w:pPr>
          </w:p>
        </w:tc>
      </w:tr>
      <w:tr>
        <w:trPr>
          <w:trHeight w:val="61"/>
        </w:trPr>
        <w:tc>
          <w:tcPr>
            <w:tcW w:w="1060" w:type="dxa"/>
            <w:vAlign w:val="bottom"/>
          </w:tcPr>
          <w:p>
            <w:pPr>
              <w:spacing w:after="0"/>
              <w:rPr>
                <w:sz w:val="5"/>
                <w:szCs w:val="5"/>
                <w:color w:val="auto"/>
              </w:rPr>
            </w:pPr>
          </w:p>
        </w:tc>
        <w:tc>
          <w:tcPr>
            <w:tcW w:w="15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9"/>
              </w:rPr>
              <w:t>Stock</w:t>
            </w:r>
          </w:p>
        </w:tc>
        <w:tc>
          <w:tcPr>
            <w:tcW w:w="1320" w:type="dxa"/>
            <w:vAlign w:val="bottom"/>
            <w:tcBorders>
              <w:right w:val="single" w:sz="8" w:color="auto"/>
            </w:tcBorders>
            <w:gridSpan w:val="4"/>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w w:val="95"/>
              </w:rPr>
              <w:t>Preferred Stock</w:t>
            </w:r>
          </w:p>
        </w:tc>
        <w:tc>
          <w:tcPr>
            <w:tcW w:w="40" w:type="dxa"/>
            <w:vAlign w:val="bottom"/>
          </w:tcPr>
          <w:p>
            <w:pPr>
              <w:spacing w:after="0"/>
              <w:rPr>
                <w:sz w:val="5"/>
                <w:szCs w:val="5"/>
                <w:color w:val="auto"/>
              </w:rPr>
            </w:pPr>
          </w:p>
        </w:tc>
        <w:tc>
          <w:tcPr>
            <w:tcW w:w="14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5"/>
                <w:szCs w:val="15"/>
                <w:color w:val="auto"/>
              </w:rPr>
              <w:t>Common Stock</w:t>
            </w:r>
          </w:p>
        </w:tc>
        <w:tc>
          <w:tcPr>
            <w:tcW w:w="12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7"/>
              </w:rPr>
              <w:t>Series AA Stock</w:t>
            </w:r>
          </w:p>
        </w:tc>
        <w:tc>
          <w:tcPr>
            <w:tcW w:w="13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5"/>
                <w:szCs w:val="15"/>
                <w:color w:val="auto"/>
                <w:w w:val="98"/>
              </w:rPr>
              <w:t>Common Stock</w:t>
            </w:r>
          </w:p>
        </w:tc>
        <w:tc>
          <w:tcPr>
            <w:tcW w:w="164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320" w:type="dxa"/>
            <w:vAlign w:val="bottom"/>
            <w:tcBorders>
              <w:right w:val="single" w:sz="8" w:color="auto"/>
            </w:tcBorders>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740" w:type="dxa"/>
            <w:vAlign w:val="bottom"/>
            <w:gridSpan w:val="2"/>
            <w:vMerge w:val="restart"/>
          </w:tcPr>
          <w:p>
            <w:pPr>
              <w:jc w:val="center"/>
              <w:ind w:right="60"/>
              <w:spacing w:after="0" w:line="159" w:lineRule="exact"/>
              <w:rPr>
                <w:sz w:val="20"/>
                <w:szCs w:val="20"/>
                <w:color w:val="auto"/>
              </w:rPr>
            </w:pPr>
            <w:r>
              <w:rPr>
                <w:rFonts w:ascii="Times New Roman" w:cs="Times New Roman" w:eastAsia="Times New Roman" w:hAnsi="Times New Roman"/>
                <w:sz w:val="15"/>
                <w:szCs w:val="15"/>
                <w:color w:val="auto"/>
              </w:rPr>
              <w:t>Paid-in</w:t>
            </w:r>
          </w:p>
        </w:tc>
        <w:tc>
          <w:tcPr>
            <w:tcW w:w="900" w:type="dxa"/>
            <w:vAlign w:val="bottom"/>
            <w:gridSpan w:val="2"/>
            <w:vMerge w:val="restart"/>
          </w:tcPr>
          <w:p>
            <w:pPr>
              <w:ind w:left="60"/>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90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5"/>
                <w:szCs w:val="15"/>
                <w:color w:val="auto"/>
              </w:rPr>
              <w:t>Accumulated</w:t>
            </w:r>
          </w:p>
        </w:tc>
        <w:tc>
          <w:tcPr>
            <w:tcW w:w="84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5"/>
                <w:szCs w:val="15"/>
                <w:color w:val="auto"/>
                <w:w w:val="95"/>
              </w:rPr>
              <w:t>Stockholders’</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3"/>
              </w:rPr>
              <w:t>Amount</w:t>
            </w:r>
            <w:r>
              <w:rPr>
                <w:rFonts w:ascii="Times New Roman" w:cs="Times New Roman" w:eastAsia="Times New Roman" w:hAnsi="Times New Roman"/>
                <w:sz w:val="19"/>
                <w:szCs w:val="19"/>
                <w:color w:val="auto"/>
                <w:w w:val="93"/>
                <w:vertAlign w:val="superscript"/>
              </w:rPr>
              <w:t>(1)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6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Amount</w:t>
            </w:r>
          </w:p>
        </w:tc>
        <w:tc>
          <w:tcPr>
            <w:tcW w:w="4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89"/>
              </w:rPr>
              <w:t>Capital</w:t>
            </w:r>
            <w:r>
              <w:rPr>
                <w:rFonts w:ascii="Times New Roman" w:cs="Times New Roman" w:eastAsia="Times New Roman" w:hAnsi="Times New Roman"/>
                <w:sz w:val="19"/>
                <w:szCs w:val="19"/>
                <w:color w:val="auto"/>
                <w:w w:val="89"/>
                <w:vertAlign w:val="superscript"/>
              </w:rPr>
              <w:t>(1)</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Adjustment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Deficit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Deficit</w:t>
            </w:r>
          </w:p>
        </w:tc>
        <w:tc>
          <w:tcPr>
            <w:tcW w:w="0" w:type="dxa"/>
            <w:vAlign w:val="bottom"/>
          </w:tcPr>
          <w:p>
            <w:pPr>
              <w:spacing w:after="0"/>
              <w:rPr>
                <w:sz w:val="1"/>
                <w:szCs w:val="1"/>
                <w:color w:val="auto"/>
              </w:rPr>
            </w:pPr>
          </w:p>
        </w:tc>
      </w:tr>
      <w:tr>
        <w:trPr>
          <w:trHeight w:val="176"/>
        </w:trPr>
        <w:tc>
          <w:tcPr>
            <w:tcW w:w="1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w:t>
            </w: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December 31,</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2021 (As</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Restated)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5,563,569</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518,750</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924,970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637,608</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691,797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43,107</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(818,482)</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(768,076)</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Sonder</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Legacy</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Warrants from</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liabilities to</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equity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CEO promissory</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settlement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(136,281)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Sonder</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Legacy</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Warrants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7,761</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convertible note</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950,855</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159,173</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159,173</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(5,563,569)</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(518,750)</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5,563,569</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518,760</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518,761</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 connection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with the</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business</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combination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and PIPE</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offering</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2,192,291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267,362</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267,362</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Assumption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SPAC</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9"/>
              </w:rPr>
              <w:t>Warrants upon</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99"/>
              </w:rPr>
              <w:t>consummation</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of business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combination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(25,985)</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 Out</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Liability</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recognized</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upon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9"/>
              </w:rPr>
              <w:t>consummation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 business</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combination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(98,117)</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(98,117)</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Delayed Draw</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Warrants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5,598</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5,598</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exchangeable</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 in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connection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with the</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business</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combination</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(924,970)</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(49,733)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(691,797)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1,616,767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49,733</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49,733</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options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46,568</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Vesting of</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60,038</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exchangeable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597,307</w:t>
            </w: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(597,307)</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 Restated)</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24,337</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24,337</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Components of</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Restated)</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(245,031)</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(245,031)</w:t>
            </w: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 in</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cumulative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adjustment</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Restated)</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5,727</w:t>
            </w: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5,727</w:t>
            </w:r>
          </w:p>
        </w:tc>
        <w:tc>
          <w:tcPr>
            <w:tcW w:w="0" w:type="dxa"/>
            <w:vAlign w:val="bottom"/>
          </w:tcPr>
          <w:p>
            <w:pPr>
              <w:spacing w:after="0"/>
              <w:rPr>
                <w:sz w:val="1"/>
                <w:szCs w:val="1"/>
                <w:color w:val="auto"/>
              </w:rPr>
            </w:pPr>
          </w:p>
        </w:tc>
      </w:tr>
      <w:tr>
        <w:trPr>
          <w:trHeight w:val="29"/>
        </w:trPr>
        <w:tc>
          <w:tcPr>
            <w:tcW w:w="10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December 31,</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2022 (As</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9,919,716</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1,019,460</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$ 949,001</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$13,026</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(1,063,513)</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(101,485)</w:t>
            </w:r>
          </w:p>
        </w:tc>
        <w:tc>
          <w:tcPr>
            <w:tcW w:w="0" w:type="dxa"/>
            <w:vAlign w:val="bottom"/>
          </w:tcPr>
          <w:p>
            <w:pPr>
              <w:spacing w:after="0"/>
              <w:rPr>
                <w:sz w:val="1"/>
                <w:szCs w:val="1"/>
                <w:color w:val="auto"/>
              </w:rPr>
            </w:pPr>
          </w:p>
        </w:tc>
      </w:tr>
      <w:tr>
        <w:trPr>
          <w:trHeight w:val="213"/>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Restated)</w:t>
            </w:r>
          </w:p>
        </w:tc>
        <w:tc>
          <w:tcPr>
            <w:tcW w:w="78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640" w:type="dxa"/>
            <w:vAlign w:val="bottom"/>
            <w:tcBorders>
              <w:right w:val="single" w:sz="8" w:color="auto"/>
            </w:tcBorders>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144" w:right="239" w:bottom="156"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67310</wp:posOffset>
            </wp:positionV>
            <wp:extent cx="71704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109" w:name="page110"/>
    <w:bookmarkEnd w:id="109"/>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5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 xml:space="preserve">STOCKHOLDERS’ DEFICIT </w:t>
      </w:r>
      <w:r>
        <w:rPr>
          <w:rFonts w:ascii="Times New Roman" w:cs="Times New Roman" w:eastAsia="Times New Roman" w:hAnsi="Times New Roman"/>
          <w:sz w:val="16"/>
          <w:szCs w:val="16"/>
          <w:b w:val="1"/>
          <w:bCs w:val="1"/>
          <w:i w:val="1"/>
          <w:iCs w:val="1"/>
          <w:color w:val="auto"/>
        </w:rPr>
        <w:t>(continued)</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Years ended December 31, 2023, 2022, and 2021</w:t>
      </w:r>
    </w:p>
    <w:p>
      <w:pPr>
        <w:spacing w:after="0" w:line="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38" w:lineRule="exact"/>
        <w:rPr>
          <w:sz w:val="20"/>
          <w:szCs w:val="20"/>
          <w:color w:val="auto"/>
        </w:rPr>
      </w:pPr>
    </w:p>
    <w:tbl>
      <w:tblPr>
        <w:tblLayout w:type="fixed"/>
        <w:tblInd w:w="42" w:type="dxa"/>
        <w:tblCellMar>
          <w:top w:w="0" w:type="dxa"/>
          <w:left w:w="0" w:type="dxa"/>
          <w:bottom w:w="0" w:type="dxa"/>
          <w:right w:w="0" w:type="dxa"/>
        </w:tblCellMar>
      </w:tblPr>
      <w:tr>
        <w:trPr>
          <w:trHeight w:val="208"/>
        </w:trPr>
        <w:tc>
          <w:tcPr>
            <w:tcW w:w="1040" w:type="dxa"/>
            <w:vAlign w:val="bottom"/>
          </w:tcPr>
          <w:p>
            <w:pPr>
              <w:spacing w:after="0"/>
              <w:rPr>
                <w:sz w:val="18"/>
                <w:szCs w:val="18"/>
                <w:color w:val="auto"/>
              </w:rPr>
            </w:pPr>
          </w:p>
        </w:tc>
        <w:tc>
          <w:tcPr>
            <w:tcW w:w="1040" w:type="dxa"/>
            <w:vAlign w:val="bottom"/>
            <w:tcBorders>
              <w:top w:val="single" w:sz="8" w:color="auto"/>
            </w:tcBorders>
            <w:gridSpan w:val="3"/>
          </w:tcPr>
          <w:p>
            <w:pPr>
              <w:jc w:val="center"/>
              <w:ind w:left="167"/>
              <w:spacing w:after="0"/>
              <w:rPr>
                <w:sz w:val="20"/>
                <w:szCs w:val="20"/>
                <w:color w:val="auto"/>
              </w:rPr>
            </w:pPr>
            <w:r>
              <w:rPr>
                <w:rFonts w:ascii="Times New Roman" w:cs="Times New Roman" w:eastAsia="Times New Roman" w:hAnsi="Times New Roman"/>
                <w:sz w:val="15"/>
                <w:szCs w:val="15"/>
                <w:color w:val="auto"/>
                <w:w w:val="97"/>
              </w:rPr>
              <w:t>Redeemable</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5"/>
                <w:szCs w:val="15"/>
                <w:color w:val="auto"/>
              </w:rPr>
            </w:pPr>
          </w:p>
        </w:tc>
        <w:tc>
          <w:tcPr>
            <w:tcW w:w="1040" w:type="dxa"/>
            <w:vAlign w:val="bottom"/>
            <w:gridSpan w:val="3"/>
          </w:tcPr>
          <w:p>
            <w:pPr>
              <w:jc w:val="center"/>
              <w:ind w:left="167"/>
              <w:spacing w:after="0"/>
              <w:rPr>
                <w:sz w:val="20"/>
                <w:szCs w:val="20"/>
                <w:color w:val="auto"/>
              </w:rPr>
            </w:pPr>
            <w:r>
              <w:rPr>
                <w:rFonts w:ascii="Times New Roman" w:cs="Times New Roman" w:eastAsia="Times New Roman" w:hAnsi="Times New Roman"/>
                <w:sz w:val="15"/>
                <w:szCs w:val="15"/>
                <w:color w:val="auto"/>
                <w:w w:val="95"/>
              </w:rPr>
              <w:t>Convertible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color w:val="auto"/>
                <w:w w:val="98"/>
              </w:rPr>
              <w:t>Post-Combination</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5"/>
                <w:szCs w:val="15"/>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Preferred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5"/>
                <w:szCs w:val="15"/>
                <w:color w:val="auto"/>
              </w:rPr>
              <w:t>Exchangeable</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Exchangeable</w:t>
            </w:r>
          </w:p>
        </w:tc>
        <w:tc>
          <w:tcPr>
            <w:tcW w:w="1040" w:type="dxa"/>
            <w:vAlign w:val="bottom"/>
            <w:gridSpan w:val="3"/>
          </w:tcPr>
          <w:p>
            <w:pPr>
              <w:jc w:val="center"/>
              <w:ind w:left="147"/>
              <w:spacing w:after="0"/>
              <w:rPr>
                <w:sz w:val="20"/>
                <w:szCs w:val="20"/>
                <w:color w:val="auto"/>
              </w:rPr>
            </w:pPr>
            <w:r>
              <w:rPr>
                <w:rFonts w:ascii="Times New Roman" w:cs="Times New Roman" w:eastAsia="Times New Roman" w:hAnsi="Times New Roman"/>
                <w:sz w:val="15"/>
                <w:szCs w:val="15"/>
                <w:color w:val="auto"/>
                <w:w w:val="97"/>
              </w:rPr>
              <w:t>Exchangeable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rPr>
              <w:t>Additional  Accumulated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61"/>
        </w:trPr>
        <w:tc>
          <w:tcPr>
            <w:tcW w:w="1040" w:type="dxa"/>
            <w:vAlign w:val="bottom"/>
          </w:tcPr>
          <w:p>
            <w:pPr>
              <w:spacing w:after="0"/>
              <w:rPr>
                <w:sz w:val="5"/>
                <w:szCs w:val="5"/>
                <w:color w:val="auto"/>
              </w:rPr>
            </w:pPr>
          </w:p>
        </w:tc>
        <w:tc>
          <w:tcPr>
            <w:tcW w:w="1040" w:type="dxa"/>
            <w:vAlign w:val="bottom"/>
            <w:gridSpan w:val="3"/>
            <w:vMerge w:val="restart"/>
          </w:tcPr>
          <w:p>
            <w:pPr>
              <w:jc w:val="center"/>
              <w:ind w:left="167"/>
              <w:spacing w:after="0"/>
              <w:rPr>
                <w:sz w:val="20"/>
                <w:szCs w:val="20"/>
                <w:color w:val="auto"/>
              </w:rPr>
            </w:pPr>
            <w:r>
              <w:rPr>
                <w:rFonts w:ascii="Times New Roman" w:cs="Times New Roman" w:eastAsia="Times New Roman" w:hAnsi="Times New Roman"/>
                <w:sz w:val="15"/>
                <w:szCs w:val="15"/>
                <w:color w:val="auto"/>
                <w:w w:val="93"/>
              </w:rPr>
              <w:t>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Borders>
              <w:right w:val="single" w:sz="8" w:color="auto"/>
            </w:tcBorders>
            <w:gridSpan w:val="5"/>
            <w:vMerge w:val="restart"/>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60" w:type="dxa"/>
            <w:vAlign w:val="bottom"/>
          </w:tcPr>
          <w:p>
            <w:pPr>
              <w:spacing w:after="0"/>
              <w:rPr>
                <w:sz w:val="5"/>
                <w:szCs w:val="5"/>
                <w:color w:val="auto"/>
              </w:rPr>
            </w:pPr>
          </w:p>
        </w:tc>
        <w:tc>
          <w:tcPr>
            <w:tcW w:w="1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5"/>
                <w:szCs w:val="15"/>
                <w:color w:val="auto"/>
                <w:w w:val="98"/>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5"/>
            <w:vMerge w:val="restart"/>
          </w:tcPr>
          <w:p>
            <w:pPr>
              <w:ind w:left="80"/>
              <w:spacing w:after="0"/>
              <w:rPr>
                <w:sz w:val="20"/>
                <w:szCs w:val="20"/>
                <w:color w:val="auto"/>
              </w:rPr>
            </w:pPr>
            <w:r>
              <w:rPr>
                <w:rFonts w:ascii="Times New Roman" w:cs="Times New Roman" w:eastAsia="Times New Roman" w:hAnsi="Times New Roman"/>
                <w:sz w:val="15"/>
                <w:szCs w:val="15"/>
                <w:color w:val="auto"/>
              </w:rPr>
              <w:t>Series AA Stock</w:t>
            </w:r>
          </w:p>
        </w:tc>
        <w:tc>
          <w:tcPr>
            <w:tcW w:w="13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5"/>
                <w:szCs w:val="15"/>
                <w:color w:val="auto"/>
                <w:w w:val="98"/>
              </w:rPr>
              <w:t>Common Stock</w:t>
            </w:r>
          </w:p>
        </w:tc>
        <w:tc>
          <w:tcPr>
            <w:tcW w:w="1640" w:type="dxa"/>
            <w:vAlign w:val="bottom"/>
            <w:gridSpan w:val="5"/>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right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1320" w:type="dxa"/>
            <w:vAlign w:val="bottom"/>
            <w:gridSpan w:val="5"/>
            <w:vMerge w:val="continue"/>
          </w:tcPr>
          <w:p>
            <w:pPr>
              <w:spacing w:after="0"/>
              <w:rPr>
                <w:sz w:val="11"/>
                <w:szCs w:val="11"/>
                <w:color w:val="auto"/>
              </w:rPr>
            </w:pPr>
          </w:p>
        </w:tc>
        <w:tc>
          <w:tcPr>
            <w:tcW w:w="740" w:type="dxa"/>
            <w:vAlign w:val="bottom"/>
            <w:gridSpan w:val="2"/>
            <w:vMerge w:val="restart"/>
          </w:tcPr>
          <w:p>
            <w:pPr>
              <w:jc w:val="center"/>
              <w:ind w:right="80"/>
              <w:spacing w:after="0" w:line="159" w:lineRule="exact"/>
              <w:rPr>
                <w:sz w:val="20"/>
                <w:szCs w:val="20"/>
                <w:color w:val="auto"/>
              </w:rPr>
            </w:pPr>
            <w:r>
              <w:rPr>
                <w:rFonts w:ascii="Times New Roman" w:cs="Times New Roman" w:eastAsia="Times New Roman" w:hAnsi="Times New Roman"/>
                <w:sz w:val="15"/>
                <w:szCs w:val="15"/>
                <w:color w:val="auto"/>
                <w:w w:val="96"/>
              </w:rPr>
              <w:t>Paid-in</w:t>
            </w:r>
          </w:p>
        </w:tc>
        <w:tc>
          <w:tcPr>
            <w:tcW w:w="900" w:type="dxa"/>
            <w:vAlign w:val="bottom"/>
            <w:gridSpan w:val="3"/>
            <w:vMerge w:val="restart"/>
          </w:tcPr>
          <w:p>
            <w:pPr>
              <w:ind w:left="60"/>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88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5"/>
                <w:szCs w:val="15"/>
                <w:color w:val="auto"/>
              </w:rPr>
              <w:t>Accumulated</w:t>
            </w:r>
          </w:p>
        </w:tc>
        <w:tc>
          <w:tcPr>
            <w:tcW w:w="86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5"/>
                <w:szCs w:val="15"/>
                <w:color w:val="auto"/>
                <w:w w:val="98"/>
              </w:rPr>
              <w:t>Stockholders’</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198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Shares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Amount</w:t>
            </w:r>
          </w:p>
        </w:tc>
        <w:tc>
          <w:tcPr>
            <w:tcW w:w="60" w:type="dxa"/>
            <w:vAlign w:val="bottom"/>
          </w:tcPr>
          <w:p>
            <w:pPr>
              <w:spacing w:after="0"/>
              <w:rPr>
                <w:sz w:val="19"/>
                <w:szCs w:val="19"/>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w:t>
            </w:r>
            <w:r>
              <w:rPr>
                <w:rFonts w:ascii="Times New Roman" w:cs="Times New Roman" w:eastAsia="Times New Roman" w:hAnsi="Times New Roman"/>
                <w:sz w:val="19"/>
                <w:szCs w:val="19"/>
                <w:color w:val="auto"/>
                <w:vertAlign w:val="superscript"/>
              </w:rPr>
              <w:t>(1)</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Shares</w:t>
            </w:r>
            <w:r>
              <w:rPr>
                <w:rFonts w:ascii="Times New Roman" w:cs="Times New Roman" w:eastAsia="Times New Roman" w:hAnsi="Times New Roman"/>
                <w:sz w:val="19"/>
                <w:szCs w:val="19"/>
                <w:color w:val="auto"/>
                <w:vertAlign w:val="superscript"/>
              </w:rPr>
              <w:t>(1)</w:t>
            </w:r>
          </w:p>
        </w:tc>
        <w:tc>
          <w:tcPr>
            <w:tcW w:w="5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Amount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Shares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Amount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2"/>
              </w:rPr>
              <w:t>Capital</w:t>
            </w:r>
            <w:r>
              <w:rPr>
                <w:rFonts w:ascii="Times New Roman" w:cs="Times New Roman" w:eastAsia="Times New Roman" w:hAnsi="Times New Roman"/>
                <w:sz w:val="19"/>
                <w:szCs w:val="19"/>
                <w:color w:val="auto"/>
                <w:w w:val="92"/>
                <w:vertAlign w:val="superscript"/>
              </w:rPr>
              <w:t>(1)</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Adjustment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Deficit</w:t>
            </w:r>
          </w:p>
        </w:tc>
        <w:tc>
          <w:tcPr>
            <w:tcW w:w="160" w:type="dxa"/>
            <w:vAlign w:val="bottom"/>
          </w:tcPr>
          <w:p>
            <w:pPr>
              <w:spacing w:after="0"/>
              <w:rPr>
                <w:sz w:val="19"/>
                <w:szCs w:val="19"/>
                <w:color w:val="auto"/>
              </w:rPr>
            </w:pPr>
          </w:p>
        </w:tc>
        <w:tc>
          <w:tcPr>
            <w:tcW w:w="7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Deficit</w:t>
            </w:r>
          </w:p>
        </w:tc>
        <w:tc>
          <w:tcPr>
            <w:tcW w:w="0" w:type="dxa"/>
            <w:vAlign w:val="bottom"/>
          </w:tcPr>
          <w:p>
            <w:pPr>
              <w:spacing w:after="0"/>
              <w:rPr>
                <w:sz w:val="1"/>
                <w:szCs w:val="1"/>
                <w:color w:val="auto"/>
              </w:rPr>
            </w:pPr>
          </w:p>
        </w:tc>
      </w:tr>
      <w:tr>
        <w:trPr>
          <w:trHeight w:val="139"/>
        </w:trPr>
        <w:tc>
          <w:tcPr>
            <w:tcW w:w="1040" w:type="dxa"/>
            <w:vAlign w:val="bottom"/>
            <w:tcBorders>
              <w:top w:val="single" w:sz="8" w:color="CCEEFF"/>
            </w:tcBorders>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Balance at</w:t>
            </w: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December 31,</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2022 (As</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Restated)</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CCEEFF"/>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9,919,716</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1,019,460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$ 949,001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center"/>
              <w:ind w:right="4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13,026</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 (1,063,513)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(101,485)</w:t>
            </w:r>
          </w:p>
        </w:tc>
        <w:tc>
          <w:tcPr>
            <w:tcW w:w="0" w:type="dxa"/>
            <w:vAlign w:val="bottom"/>
          </w:tcPr>
          <w:p>
            <w:pPr>
              <w:spacing w:after="0"/>
              <w:rPr>
                <w:sz w:val="1"/>
                <w:szCs w:val="1"/>
                <w:color w:val="auto"/>
              </w:rPr>
            </w:pPr>
          </w:p>
        </w:tc>
      </w:tr>
      <w:tr>
        <w:trPr>
          <w:trHeight w:val="139"/>
        </w:trPr>
        <w:tc>
          <w:tcPr>
            <w:tcW w:w="1040" w:type="dxa"/>
            <w:vAlign w:val="bottom"/>
          </w:tcPr>
          <w:p>
            <w:pPr>
              <w:ind w:left="20"/>
              <w:spacing w:after="0" w:line="139" w:lineRule="exact"/>
              <w:rPr>
                <w:sz w:val="20"/>
                <w:szCs w:val="20"/>
                <w:color w:val="auto"/>
              </w:rPr>
            </w:pPr>
            <w:r>
              <w:rPr>
                <w:rFonts w:ascii="Times New Roman" w:cs="Times New Roman" w:eastAsia="Times New Roman" w:hAnsi="Times New Roman"/>
                <w:sz w:val="15"/>
                <w:szCs w:val="15"/>
                <w:color w:val="auto"/>
              </w:rPr>
              <w:t>Exercise of</w:t>
            </w: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common stock</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4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4"/>
                <w:szCs w:val="14"/>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0"/>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6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Vesting of</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restricted</w:t>
            </w: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42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154,062</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4"/>
                <w:szCs w:val="14"/>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units</w:t>
            </w:r>
          </w:p>
        </w:tc>
        <w:tc>
          <w:tcPr>
            <w:tcW w:w="64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Conversion of</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exchangeable</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4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306,478</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(306,478)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6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Stock-based</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28,494</w:t>
            </w:r>
          </w:p>
        </w:tc>
        <w:tc>
          <w:tcPr>
            <w:tcW w:w="0" w:type="dxa"/>
            <w:vAlign w:val="bottom"/>
          </w:tcPr>
          <w:p>
            <w:pPr>
              <w:spacing w:after="0"/>
              <w:rPr>
                <w:sz w:val="1"/>
                <w:szCs w:val="1"/>
                <w:color w:val="auto"/>
              </w:rPr>
            </w:pPr>
          </w:p>
        </w:tc>
      </w:tr>
      <w:tr>
        <w:trPr>
          <w:trHeight w:val="159"/>
        </w:trPr>
        <w:tc>
          <w:tcPr>
            <w:tcW w:w="10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Components of</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w w:val="96"/>
              </w:rPr>
              <w:t>comprehensive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(295,668)</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(295,668)</w:t>
            </w:r>
          </w:p>
        </w:tc>
        <w:tc>
          <w:tcPr>
            <w:tcW w:w="0" w:type="dxa"/>
            <w:vAlign w:val="bottom"/>
          </w:tcPr>
          <w:p>
            <w:pPr>
              <w:spacing w:after="0"/>
              <w:rPr>
                <w:sz w:val="1"/>
                <w:szCs w:val="1"/>
                <w:color w:val="auto"/>
              </w:rPr>
            </w:pPr>
          </w:p>
        </w:tc>
      </w:tr>
      <w:tr>
        <w:trPr>
          <w:trHeight w:val="159"/>
        </w:trPr>
        <w:tc>
          <w:tcPr>
            <w:tcW w:w="104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Change in</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40" w:type="dxa"/>
            <w:vAlign w:val="bottom"/>
          </w:tcPr>
          <w:p>
            <w:pPr>
              <w:ind w:left="140"/>
              <w:spacing w:after="0" w:line="172" w:lineRule="exact"/>
              <w:rPr>
                <w:sz w:val="20"/>
                <w:szCs w:val="20"/>
                <w:color w:val="auto"/>
              </w:rPr>
            </w:pPr>
            <w:r>
              <w:rPr>
                <w:rFonts w:ascii="Times New Roman" w:cs="Times New Roman" w:eastAsia="Times New Roman" w:hAnsi="Times New Roman"/>
                <w:sz w:val="15"/>
                <w:szCs w:val="15"/>
                <w:color w:val="auto"/>
              </w:rPr>
              <w:t>cumulative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4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translation</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(8,050)</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(8,050)</w:t>
            </w:r>
          </w:p>
        </w:tc>
        <w:tc>
          <w:tcPr>
            <w:tcW w:w="0" w:type="dxa"/>
            <w:vAlign w:val="bottom"/>
          </w:tcPr>
          <w:p>
            <w:pPr>
              <w:spacing w:after="0"/>
              <w:rPr>
                <w:sz w:val="1"/>
                <w:szCs w:val="1"/>
                <w:color w:val="auto"/>
              </w:rPr>
            </w:pPr>
          </w:p>
        </w:tc>
      </w:tr>
      <w:tr>
        <w:trPr>
          <w:trHeight w:val="29"/>
        </w:trPr>
        <w:tc>
          <w:tcPr>
            <w:tcW w:w="10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Balance at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5"/>
                <w:szCs w:val="15"/>
                <w:color w:val="auto"/>
              </w:rPr>
              <w:t>December 31,</w:t>
            </w: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10,380,725</w:t>
            </w:r>
          </w:p>
        </w:tc>
        <w:tc>
          <w:tcPr>
            <w:tcW w:w="6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712,982</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$ 977,503</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center"/>
              <w:ind w:right="4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 (1,359,181)</w:t>
            </w:r>
          </w:p>
        </w:tc>
        <w:tc>
          <w:tcPr>
            <w:tcW w:w="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(376,701)</w:t>
            </w:r>
          </w:p>
        </w:tc>
        <w:tc>
          <w:tcPr>
            <w:tcW w:w="0" w:type="dxa"/>
            <w:vAlign w:val="bottom"/>
          </w:tcPr>
          <w:p>
            <w:pPr>
              <w:spacing w:after="0"/>
              <w:rPr>
                <w:sz w:val="1"/>
                <w:szCs w:val="1"/>
                <w:color w:val="auto"/>
              </w:rPr>
            </w:pPr>
          </w:p>
        </w:tc>
      </w:tr>
      <w:tr>
        <w:trPr>
          <w:trHeight w:val="204"/>
        </w:trPr>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2023</w:t>
            </w:r>
          </w:p>
        </w:tc>
        <w:tc>
          <w:tcPr>
            <w:tcW w:w="64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4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ind w:left="2" w:hanging="2"/>
        <w:spacing w:after="0" w:line="223" w:lineRule="auto"/>
        <w:tabs>
          <w:tab w:leader="none" w:pos="166"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19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 2023, 2022 and 2021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7"/>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7"/>
              <w:spacing w:after="0"/>
              <w:rPr>
                <w:sz w:val="20"/>
                <w:szCs w:val="20"/>
                <w:color w:val="auto"/>
              </w:rPr>
            </w:pPr>
            <w:r>
              <w:rPr>
                <w:rFonts w:ascii="Times New Roman" w:cs="Times New Roman" w:eastAsia="Times New Roman" w:hAnsi="Times New Roman"/>
                <w:sz w:val="15"/>
                <w:szCs w:val="15"/>
                <w:color w:val="auto"/>
              </w:rPr>
              <w:t>2021</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27"/>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i w:val="1"/>
                <w:iCs w:val="1"/>
                <w:color w:val="auto"/>
              </w:rPr>
              <w:t>(As Restated)</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7"/>
              <w:spacing w:after="0"/>
              <w:rPr>
                <w:sz w:val="20"/>
                <w:szCs w:val="20"/>
                <w:color w:val="auto"/>
              </w:rPr>
            </w:pPr>
            <w:r>
              <w:rPr>
                <w:rFonts w:ascii="Times New Roman" w:cs="Times New Roman" w:eastAsia="Times New Roman" w:hAnsi="Times New Roman"/>
                <w:sz w:val="13"/>
                <w:szCs w:val="13"/>
                <w:i w:val="1"/>
                <w:iCs w:val="1"/>
                <w:color w:val="auto"/>
              </w:rPr>
              <w:t>(As Restated)</w:t>
            </w:r>
          </w:p>
        </w:tc>
      </w:tr>
      <w:tr>
        <w:trPr>
          <w:trHeight w:val="195"/>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34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(295,668)</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(245,031)</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(293,955)</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23,914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17,714</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24,337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25,247</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142,391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Impairment losses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59,165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82,050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Straight-line rent</w:t>
            </w: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37,525</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(Gain) loss on foreign exchange</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6,590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2,387</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18,359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2,378</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3,802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35,067</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share-settled redemption feature and gain on conversion of convertible notes</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(14,834)</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Change in fair value of warrants</w:t>
            </w: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2,148</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1,249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810</w:t>
            </w:r>
          </w:p>
        </w:tc>
      </w:tr>
      <w:tr>
        <w:trPr>
          <w:trHeight w:val="203"/>
        </w:trPr>
        <w:tc>
          <w:tcPr>
            <w:tcW w:w="66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(3,067)</w:t>
            </w:r>
          </w:p>
        </w:tc>
      </w:tr>
      <w:tr>
        <w:trPr>
          <w:trHeight w:val="203"/>
        </w:trPr>
        <w:tc>
          <w:tcPr>
            <w:tcW w:w="66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4,400</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8,390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(22,284)</w:t>
            </w:r>
          </w:p>
        </w:tc>
      </w:tr>
      <w:tr>
        <w:trPr>
          <w:trHeight w:val="203"/>
        </w:trPr>
        <w:tc>
          <w:tcPr>
            <w:tcW w:w="66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8,593</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19,105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10,762</w:t>
            </w:r>
          </w:p>
        </w:tc>
      </w:tr>
      <w:tr>
        <w:trPr>
          <w:trHeight w:val="203"/>
        </w:trPr>
        <w:tc>
          <w:tcPr>
            <w:tcW w:w="66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6,243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1,366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22,400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7,123</w:t>
            </w:r>
          </w:p>
        </w:tc>
      </w:tr>
      <w:tr>
        <w:trPr>
          <w:trHeight w:val="203"/>
        </w:trPr>
        <w:tc>
          <w:tcPr>
            <w:tcW w:w="66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r>
      <w:tr>
        <w:trPr>
          <w:trHeight w:val="195"/>
        </w:trPr>
        <w:tc>
          <w:tcPr>
            <w:tcW w:w="66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(110,904)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(149,988)</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(179,949)</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(15,603)</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(5,426)</w:t>
            </w:r>
          </w:p>
        </w:tc>
      </w:tr>
      <w:tr>
        <w:trPr>
          <w:trHeight w:val="195"/>
        </w:trPr>
        <w:tc>
          <w:tcPr>
            <w:tcW w:w="660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(12,362)</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(29,693)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(21,029)</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Delayed Draw Notes</w:t>
            </w: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159,225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 of debt and related fees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(27,745)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(18,776)</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162,366</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business combination and PIPE offering</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325,928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issuance costs</w:t>
            </w: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3,961</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Issuance of redeemable convertible preferred stock</w:t>
            </w:r>
          </w:p>
        </w:tc>
        <w:tc>
          <w:tcPr>
            <w:tcW w:w="3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1,020</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6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400,599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148,571</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(760)</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(152,689)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219,245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(53,167)</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289,186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123,108</w:t>
            </w:r>
          </w:p>
        </w:tc>
      </w:tr>
      <w:tr>
        <w:trPr>
          <w:trHeight w:val="29"/>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136,497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289,186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69,941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SONDER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Basis of Presentation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Nature of Operations</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Sonder Holdings Inc., together with its wholly owned subsidiaries (collectively, the “Company”), provides short and long-term accommodations to travelers in various cities across North America, Europe, and the Middle East. The units in each apartment-style building and each hotel property are selected, designed, and managed directly by the Company. The Company also provides accommodations to travelers through boutique hotels that are designated as Powered by Sonder properties, each with its own unique design elements and features.</w:t>
      </w:r>
    </w:p>
    <w:p>
      <w:pPr>
        <w:spacing w:after="0" w:line="1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 xml:space="preserve">On January 18, 2022, the Company consummated the previously announced business combination by and among Gores Metropoulos II, Inc. (“GMII”), two subsidiaries of GMII, and Sonder Operating Inc., a Delaware corporation formerly known as Sonder Holdings Inc. (“Legacy Sonder”) (the “Business Combination”). Refer to Note 16,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for details of the transaction. The consolidated financial statements presented herein for the year ended December 31, 2021 represent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of Legacy Sonder.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Financial Statement Presentation and Principles of Consolidation</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conformity with accounting principles generally accepted in the United States of America (“GAAP”, “U.S. GAAP”, or “generally accepted accounting principles”). The consolidated financial statements present the results of operations, financial position, and cash flows of Sonder Holdings Inc., its wholly owned subsidiaries, and one variable interest entity (“VIE”) for which it is the primary beneficiary in accordance with consolidation accounting guidance. All intercompany balances and transactions have been eliminated in consolidation.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 xml:space="preserve">The Company accounts for its VIE in accordance with Accounting Standards Codification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and evaluates its ownership, contractual, and other interests in entities to assess whether it has a variable interest in entities in which it has a financial relationship and, if so, whether or not those entities are VIEs. For an entity to qualify as a VIE, ASC 810 requires the Company to determine if it is the primary beneficiary of the VIE, and, if so, to consolidate such entity into its consolidated financial statements. If the Company determines that it is not the primary beneficiary of the VIE, the ASC 810 requires the Company, to account for the investment or other variable interest in a VIE in accordance with applicable U.S. GAAP. The Company consolidates its VIE in which it holds a controlling financial interest, and is therefore deemed the primary beneficiary. Periodically, the Company reevaluates its ownership, contractual, and other interests in entities to determine whether any changes in its interest or relationship with an entity impacts the determination of whether it is still the primary beneficiary of such entity. As of December 31, 2023 and 2022, the Company’s consolidated VIE was not material to the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qualifies as an emerging growth company as defined in the Jumpstart Our Business Startups Act of 2012, and as a "smaller reporting company" as defined in Rule 12b-2 under the Securities Exchange Act of 1934, and, as such, may take advantage of specified reduced reporting requirements and deferred accounting standards adoption dates, and is relieved of other significant requirements that are otherwise generally applicable to other public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Reverse Stock Split</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September 19, 2023, the Company filed a certificate of amendment to the Company’s Amended and Restated Certificate of Incorporation to effect a 1-for-20 reverse stock split (the “Reverse Stock Split”) of the outstanding shares of the Company’s common stock (including special voting common stock), par value $0.0001 per share, effective as of 4:01 p.m., Eastern Time, on September 20, 2023 (the “Effective Time”). As of the Effective Time, every 20 shares of the Company’s issued and outstanding common stock and every 20 shares of its issued and outstanding special voting common stock were combined into one issued and outstanding share of common stock or one issued and outstanding share of special voting common stock, respectively. The total number of authorized shares of common stock was reduced from 400,000,000 to 20,000,000, and the total number of authorized shares of special voting common stock was reduced from 40,000,000 to 2,000,000. The number of authorized shares of preferred stock remained unchanged at 250,000,000 shares, and the par value of the Company’s common stock (including special voting common stock) remained unchanged at $0.0001 per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the Effective Time, proportional adjustments to reflect the Reverse Stock Split were also made to the number of shares of common stock issuable upon the exercise of the Company’s outstanding warrants and stock options, the number of shares issuable pursuant to outstanding restricted stock units, and the number of shares authorized and reserved for issuance pursuant to the Company’s equity incentive and employee stock purchase plans. The exercise prices and stock price targets of outstanding stock options, warrants, and equity awards were also proportionately adjusted, as applicable. Accordingly, with respect to the Company’s publicly traded warrants trading under the symbol “SONDW,” every 20 warrants outstanding immediately prior to the Reverse Stock Split became exercisable for one share of common stock at an exercise price of $230.00 per share. Proportional adjustments were also made to the number of shares issuable pursuant to the Earn Out provided for in the Company’s Agreement and Plan of Merger dated April 29, 2021, as amended, and its triggering event share prices. The outstanding Post-Combination Exchangeable Common Stock of the Company’s subsidiary, Sonder Canada Inc., were also consolidated on a 1-for-20 basis to reflect the Reverse Stock Split. Any fractional interests in the Post-Combination Exchangeable Common Stock were paid out in cash, applying the same per-share price applicable to the Company’s common stock, and fractional interests in the related shares of special voting common stock were paid out in cash with reference to their automatic redemption price as stated in the Company’s certificate of incorporation.</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The effects of the Reverse Stock Split have been reflected in these consolidated financial statements and the accompanying footnotes for all periods presented, which includes adjusting the description of any activity that may have been transacted on a pre-Reverse Stock Split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Going Concern</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and is not in compliance with one affirmative debt covenant. The Company’s liquidity may be insufficient to meet its obligations for at least one year from the date of issuance of these financial statements, which raises substantial doubt about the Company’s ability to continue as a going concern.</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 We are in discussions with the Purchasers under the Delayed Draw Notes Purchase Agreement to obtain a waiver for this potential Event of Default.</w:t>
      </w:r>
    </w:p>
    <w:p>
      <w:pPr>
        <w:spacing w:after="0" w:line="3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Management’s plans to address these conditions include: i) meet the requirements and milestones as described in Note 18 to obtain additional funds through recent arrangements, including $28.6 million from convertible preferred stock and $15 million from the Marriott agreement, ii) realize improved operations, including anticipated improvements from integration through the Marriott agreement, iii) renegotiate lease terms, including possible terminations, of certain properties, iv) implement cost-cutting initiatives, and v) negotiate a waiver of the debt covenant non-compliance.</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As a result of the potential Event of Default, the indebtedness related to our Delayed Draw Notes as of December 31, 2023 has been reclassified from long-term debt, net to current portion of long term-debt, net. See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for additional information regarding the impacts to our debt reclassification related to the potential Event of Default to our Delayed Draw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Risk</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primarily of cash and cash equivalents. The Company manages the credit risk associated with cash and cash equivalents by investing in lower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it is not exposed to any significant risks on its cash and cash equivalent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 and expense during the reporting periods. Examples of where management makes estimates and assumptions included, but are not limited to the fair value of share-based awards, estimated useful life of long-lived assets, bad-debt allowances, valuation of intellectual property and intangible assets, contingent liabilities, valuation allowance for deferred tax assets, ROU asset impairment, and valuation of non-routine complex transactions, such as recognition of the Earn Out Liability and SPAC Warrants (both as defined below), among others. These estimates are based on information available as of the date of the consolidated financial statements; therefore, actual results could differ from those estimates.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Information</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An operating segment is defined as a component of an entity that: (i) engages in business activities from which it may earn revenues and incur expenses; (ii) is regularly reviewed by the Chief Operating Decision Maker (“CODM”) for performance assessment and resource allocation decisions; and (iii) has discrete financial information available. The Company’s CODM is its Chief Executive Officer.</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Company has one operating and reportable segment, as the CODM reviews financial information presented on a consolidated basis for purposes of performance assessment and resource allocation.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Long-lived assets that are held and used by the Company are reviewed for impairment when events or changes in circumstances indicate that the carrying amount of the asset may not be recoverable. Determination of recoverability of long-lived assets is based on an estimate of the undiscounted cash flows resulting from the use of the asset and its eventual disposition. If the carrying value of the long-lived asset is not recoverable on an undiscounted cash flow basis, impairment is recognized to the extent that the carrying value exceeds its fair value. Fair value is determined through various valuation techniques including discounted cash flow models, as well as other methods and approaches, as necessary.</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Any impairments to ROU assets, leasehold improvements, or other assets as a result of a sublease, abandonment, or other similar factor are recorded as an operating expense. Similar to other long-lived assets, the Company tests ROU assets for impairment whenever events or changes in circumstances occur that could impact the recoverability of these assets. For ROU assets, such circumstances may include subleases that do not fully recover the costs of the associated leases or a decision to abandon the use of all or part of an asset.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 and Deferred Revenue</w:t>
      </w:r>
    </w:p>
    <w:p>
      <w:pPr>
        <w:spacing w:after="0" w:line="2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Company generates revenues primarily by providing short-term or month-to-month accommodations to its guests. As a result, the Company’s performance obligation is to facilitate a stay, which is satisfied over time as the stay occurs. Revenues are recognized over time for guest stays, commencing upon guest check-in and ending at guest check-out, net of discounts and refunds. For short-term accommodations, the Company's guests agree to its Terms of Service (“ToS”) and make payments for their accommodations at the time of reservation. For month-to-month accommodations, the Company’s guests agree to its ToS and make payments for their accommodations in accordance with the related contracts. For accommodations booked through online travel agencies (“OTAs”), payments for accommodations are made by OTAs to the Company based on the ToS that the Company has with travel agencies.</w:t>
      </w:r>
    </w:p>
    <w:p>
      <w:pPr>
        <w:spacing w:after="0" w:line="1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Guests generally have the right to cancel prior to check-in, and are entitled to refunds in accordance with the agreed-upon ToS. Payments received from guests prior to check-in are recognized as deferred revenue, a contract liability, on the consolidated balance sheet. Deferred revenue is reduced over the period in which a guest completes a stay and is recognized in revenue. Substantially all of the deferred revenue balances at the end of each fiscal year are expected to be recognized in revenue in the subsequent year. Payments received after guest check-in are primarily from OTAs that guests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use to book accommodations and are recognized as accounts receivable, net of allowance, post guest check-out. The Company is required to collect certain taxes and fees from guests on behalf of governmental agencies and remit these to the applicable governmental agencies on a periodic basis. The Company recognizes revenues net of such taxes and fees collected.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determines whether an arrangement is or contains a lease at inception. The lease term is also determined at lease inception and generally begins on the date the Company takes possession of the full or partial portions of leased premises. Operating lease ROU assets and liabilities are recognized at the commencement date based on the present value of lease payments over the lease term. Operating lease liabilities represent the present value of lease payments not yet paid. Operating lease ROU assets represent the Company’s right to use an underlying asset and are based upon the operating lease liabilities adjusted for prepayments or accrued lease payments, initial direct costs, lease incentives, and impairment of operating lease assets. As most of the Company’s leases do not provide an implicit rate, the Company uses its incremental borrowing rate based on the information available at commencement date in determining the present value of lease payments. The Company has certain lease agreements that contain lease and non-lease components, which are accounted for as a single lease component.</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Company’s leases often contain rent escalations over the lease term. The Company recognizes expense for fixed, scheduled escalations on a straight-line basis over the lease term. The Company recognizes variable expense, accounted for as discussed below, for escalations associated with a change in an index or rate. Additionally, tenant incentives, primarily used to fund leasehold improvements, are recognized when earned and reduce the Company’s ROU asset related to the lease. These are amortized through the ROU asset as reductions of expense over the lease term.</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Certain leases contain variable costs such as real estate taxes, insurance, utilities, and certain common area maintenance costs in addition to minimum rent payments. These amounts are expensed as incurred and are included within cost of revenue if paid directly to the lessor or in operations and support if paid to the authority assessing the cost for the properties used for guests and within general and administrative for warehouses in the accompanying consolidated statements of operations and comprehensive loss.</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For leases with an initial non-cancelable lease term of less than one year and no option to purchase, the Company elected not to recognize the lease on its consolidated balance sheets and instead recognize rent payments on a straight-line basis over the lease term within operations and support on its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Restricted Cash</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considers all highly liquid investments with an original maturity of 90 days or less when purchased to be cash. Cash is held in checking and interest-bearing accounts, and is recorded at cost, which approximates fair value. Restricted cash consists of cash collateral for standby letters of credit with a bank that were issued to the Company’s real estate owners and for collateral required by the bank to support the Company's corporate credit card programs.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Supplemental Cash Flow Information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1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shows supplemental cash flow information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19"/>
        </w:trPr>
        <w:tc>
          <w:tcPr>
            <w:tcW w:w="6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paid for income taxes during the year</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interest during the year</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ROU assets acquired</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205,285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312,478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159,173</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Conversion of Legacy Sonder Warrants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Reclassification of liability-classified Legacy Sonder Warrants to equity</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Recognition of Earn Out Liability</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Recognition of SPAC Warrants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(38,135)</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Delayed Draw Warrants</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Conversion of Post-Combination Exchangeable Shares</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49,733</w:t>
            </w:r>
          </w:p>
        </w:tc>
        <w:tc>
          <w:tcPr>
            <w:tcW w:w="80" w:type="dxa"/>
            <w:vAlign w:val="bottom"/>
          </w:tcPr>
          <w:p>
            <w:pPr>
              <w:spacing w:after="0"/>
              <w:rPr>
                <w:sz w:val="19"/>
                <w:szCs w:val="19"/>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Conversion of Redeemable Convertible Preferred Stock</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518,760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restricted cash: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8"/>
        </w:trPr>
        <w:tc>
          <w:tcPr>
            <w:tcW w:w="6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7"/>
        </w:trPr>
        <w:tc>
          <w:tcPr>
            <w:tcW w:w="6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246,624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69,726</w:t>
            </w:r>
          </w:p>
        </w:tc>
      </w:tr>
      <w:tr>
        <w:trPr>
          <w:trHeight w:val="219"/>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38"/>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8"/>
        </w:trPr>
        <w:tc>
          <w:tcPr>
            <w:tcW w:w="69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restricted cash at end of period</w:t>
            </w: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136,497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289,186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Measurements</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 xml:space="preserve">The Company applies fair value accounting for certain financial assets and liabilities that are recognized or disclosed at fair value in the consolidated financial statements on a recurring basis. Fair value is defined as the price that would be received from selling an asset or paid to transfer a liability in an orderly transaction between market participants at the measurement date. U.S. GAAP establishes a hierarchical disclosure framework which prioritizes and ranks the level of market price observability used in measuring financial instruments at fair value. Refer to Note 6, </w:t>
      </w:r>
      <w:r>
        <w:rPr>
          <w:rFonts w:ascii="Times New Roman" w:cs="Times New Roman" w:eastAsia="Times New Roman" w:hAnsi="Times New Roman"/>
          <w:sz w:val="16"/>
          <w:szCs w:val="16"/>
          <w:i w:val="1"/>
          <w:iCs w:val="1"/>
          <w:color w:val="auto"/>
        </w:rPr>
        <w:t>Fair Value Measurement and Financial Instruments</w:t>
      </w:r>
      <w:r>
        <w:rPr>
          <w:rFonts w:ascii="Times New Roman" w:cs="Times New Roman" w:eastAsia="Times New Roman" w:hAnsi="Times New Roman"/>
          <w:sz w:val="16"/>
          <w:szCs w:val="16"/>
          <w:color w:val="auto"/>
        </w:rPr>
        <w:t>,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Accounts Receivable, Net of Allowance for Expected Credit Losses</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Trade accounts receivable are recorded for guest stays primarily from bookings made through OTAs or through the Company’s sales personnel where payments are made to the Company after guest check-outs. Trade accounts receivable are recorded at the invoiced amount and are non-interest bearing.</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 maintains an allowance which reflects its best estimate of its exposure to balances deemed to be uncollectible. Accounts receivable are written off as a decrease to the allowance when all collection efforts have been exhausted and an account is deemed uncollectible. Recoveries of receivables previously written off are recorded as a reduction of bad debt expense when received.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are calculated using the straight-line method over the estimated useful lives of the assets. Estimated useful lives of the Company's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Classification:</w:t>
            </w:r>
          </w:p>
        </w:tc>
        <w:tc>
          <w:tcPr>
            <w:tcW w:w="6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Estimated Useful Life</w:t>
            </w:r>
          </w:p>
        </w:tc>
      </w:tr>
      <w:tr>
        <w:trPr>
          <w:trHeight w:val="212"/>
        </w:trPr>
        <w:tc>
          <w:tcPr>
            <w:tcW w:w="4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80" w:type="dxa"/>
            <w:vAlign w:val="bottom"/>
          </w:tcPr>
          <w:p>
            <w:pPr>
              <w:spacing w:after="0"/>
              <w:rPr>
                <w:sz w:val="18"/>
                <w:szCs w:val="18"/>
                <w:color w:val="auto"/>
              </w:rPr>
            </w:pPr>
          </w:p>
        </w:tc>
        <w:tc>
          <w:tcPr>
            <w:tcW w:w="6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38"/>
        </w:trPr>
        <w:tc>
          <w:tcPr>
            <w:tcW w:w="4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520" w:type="dxa"/>
            <w:vAlign w:val="bottom"/>
          </w:tcPr>
          <w:p>
            <w:pPr>
              <w:spacing w:after="0"/>
              <w:rPr>
                <w:sz w:val="3"/>
                <w:szCs w:val="3"/>
                <w:color w:val="auto"/>
              </w:rPr>
            </w:pPr>
          </w:p>
        </w:tc>
      </w:tr>
      <w:tr>
        <w:trPr>
          <w:trHeight w:val="237"/>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software, and office equipment</w:t>
            </w:r>
          </w:p>
        </w:tc>
        <w:tc>
          <w:tcPr>
            <w:tcW w:w="6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6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years</w:t>
            </w:r>
          </w:p>
        </w:tc>
      </w:tr>
      <w:tr>
        <w:trPr>
          <w:trHeight w:val="38"/>
        </w:trPr>
        <w:tc>
          <w:tcPr>
            <w:tcW w:w="4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520" w:type="dxa"/>
            <w:vAlign w:val="bottom"/>
          </w:tcPr>
          <w:p>
            <w:pPr>
              <w:spacing w:after="0"/>
              <w:rPr>
                <w:sz w:val="3"/>
                <w:szCs w:val="3"/>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Shorter of remaining lease term or the estimated useful life of 3 years</w:t>
            </w:r>
          </w:p>
        </w:tc>
      </w:tr>
      <w:tr>
        <w:trPr>
          <w:trHeight w:val="38"/>
        </w:trPr>
        <w:tc>
          <w:tcPr>
            <w:tcW w:w="4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520" w:type="dxa"/>
            <w:vAlign w:val="bottom"/>
            <w:shd w:val="clear" w:color="auto" w:fill="CCEEFF"/>
          </w:tcPr>
          <w:p>
            <w:pPr>
              <w:spacing w:after="0"/>
              <w:rPr>
                <w:sz w:val="3"/>
                <w:szCs w:val="3"/>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Depreciation and amortization expense are generally classified within the corresponding operating expenses line items on the Company’s consolidated statements of operations and comprehensive loss. The cost of maintenance and repairs is expensed as incurred. When assets are retired or otherwise disposed of, the cost and related accumulated depreciation and amortization are removed from their respective accounts, and any gain or loss on such sale or disposal is reflected on the consolidated statement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Internal-Use Software</w:t>
      </w:r>
    </w:p>
    <w:p>
      <w:pPr>
        <w:spacing w:after="0" w:line="2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Company capitalizes certain costs associated with software developed or obtained for internal use, which includes its booking and pricing platform, mobile apps, and website development. The Company capitalizes costs when preliminary software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 Costs incurred prior to meeting these criteria, together with costs incurred for training and maintenance, are expensed as incurred. Costs incurred for software enhancements that are expected to result in additional material functionality are capitalized and amortized over the estimated useful life of the enhancements.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Company's reporting currency is the U.S. dollar. Functional currency is determined for each of the Company's foreign subsidiaries by reviewing its operations and currencies used in its primary economic environments. Assets and liabilities for foreign subsidiaries with functional currency other than the U.S. dollar are translated into U.S. dollars at the rate of exchange existing at the balance sheet date. Statements of operations and comprehensive loss amounts are translated at average exchange rates for the period. Translation gains and losses are recorded in cumulative translation adjustment as a component of stockholders’ deficit in the consolidated balance sheets.</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Remeasurement gains and losses are included in other expense (income), net in the consolidated statements of operations and comprehensive loss. Monetary assets and liabilities are remeasured at the exchange rate on the balance sheet date, and nonmonetary assets and liabilities are measured at historical exchange rates.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cost of revenue primarily consists of fixed and variable lease costs to real estate owners for Live Units, cleaning costs, and payment processing charges.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Operations and Support</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Operations and support costs are related to guest-facing functions and variable expenses associated with property-level operations, such as customer service agents and hospitality agents, depreciation of property and equipment, utilities, costs to open new properties, and the cost of guest-room consumable items and low-cost furnishings. These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General and administrative costs primarily consist of personnel-related expenses for administrative functions, such as legal, finance and accounting, public policy, and human resources. It also includes certain professional services fees, technology expenses, bad debt expense, general corporate and director and officer insurance, and other corporate-level expenses the Company incurs to manage and support its operations.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Research and development expenses primarily consist of personnel-related expenses and an allocation of facility expenses incurred in connection with the development of the Company’s existing and new services. These costs are expensed as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Sales and marketing expenses primarily consist of advertising expenses, personnel-related expenses for sales, marketing, and branding, as well as service charges for bookings made through OTAs. These costs are expensed as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Advertising Expenses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Advertising expenses, a majority of which consist of internet and social media marketing, were $15.4 million, $6.4 million, and $5.6 million for the years ended December 31, 2023, 2022, and 2021, respectively. These costs are expensed as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Related to Stock Options and Restricted Stock Units (“RSUs”)</w:t>
      </w:r>
    </w:p>
    <w:p>
      <w:pPr>
        <w:spacing w:after="0" w:line="2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recognizes stock-based compensation expense related to stock options and RSUs in the consolidated statements of operations and comprehensive loss on a straight-line basis over the requisite service period, which is generally four years. The compensation expense related to stock options is based on the fair value of stock options using the Black-Scholes-Merton option-pricing model on the grant date, which requires the use of highly subjective and complex assumptions, including the value of the underlying stock on the date of grant for options granted before the Company was publicly traded, the expected term of the option, the price volatility of the underlying stock, expected dividend yield, and risk-free interest rate. The compensation expense related to RSUs is based on the closing fair market value of our common stock.</w:t>
      </w:r>
    </w:p>
    <w:p>
      <w:pPr>
        <w:spacing w:after="0" w:line="3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estimates the expected term for options based on its historical pattern of option exercise behavior and the period of time options are expected to be outstanding. The contractual term of the Company's stock options is generally ten years. The Company estimates the volatility of its common stock on the date of grant based on the average historical stock price volatility of comparable publicly traded companies. Dividend yields have been, and are expected to be, zero given the Company's dividend payment history and plans. The risk-free interest rate is based on the yield curve of a zero-coupon U.S. Treasury bond on the grant date with a maturity equal to the expected term of the stock option award. The Company has elected to account for forfeitures of stock-based compensation awards as they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Compensation Related to Performance and Market-Based Awards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The Company recognizes the compensation expense related to performance and market-based awards based on its estimate of the fair value of the award using a Monte-Carlo simulation on the grant date. The Monte-Carlo simulation utilizes multiple input variables to estimate the probability that performance conditions will be achieved. These variables include the Company’s expected stock price volatility over the expected term of the award, actual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 The Company recognizes compensation expense for its market-based awards over the requisite service period using the accelerated attribution method.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Charges</w:t>
      </w:r>
    </w:p>
    <w:p>
      <w:pPr>
        <w:spacing w:after="0" w:line="23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Costs and liabilities associated with management-approved restructuring activities are recognized when they are incurred. One-time employee termination costs are recognized at the time of communication to employees, unless future service is required, in which case the costs are recognized ratably over the future service period. Ongoing employee termination benefits are recognized as a liability when it is probable that a liability exists and the amount is reasonably estimable. Restructuring charges are recognized in the restructuring and other charges line item of the consolidated statements of operations and comprehensive loss, and related liabilities are recorded within accrued liabilities and other liabilities on the consolidated balance sheets. The Company periodically evaluates and, if necessary, adjusts its estimates based on currently available information.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2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statement of operations and comprehensive loss as of the enactment date. A valuation allowance is recorded for deferred tax assets if it is more likely than not that some portion or all of the deferred tax assets will not be realized. As of December 31, 2023 and 2022, except in Canada, the Company has recorded a full valuation allowance against its deferred tax assets due to its history of losses.</w:t>
      </w:r>
    </w:p>
    <w:p>
      <w:pPr>
        <w:spacing w:after="0" w:line="38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recognizes interest and penalties, if any, related to income tax matters as a component of income tax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Taxes payable on the Company’s consolidated balances sheets at December 31, 2023 and 2022 includes both income taxes payable and indirect taxes payable.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Loss Per Share</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applies the two-class method when computing net loss per share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Basic net loss per share is computed by dividing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Comprehensive Loss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Comprehensive loss consists of net loss and other comprehensive income (loss). Other comprehensive income (loss) primarily consists of foreign currency translation adjustments related to consolidation of foreign entities. Other comprehensive loss is recorded as a component of stockholders’ deficit and is excluded from net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Company is subject to legal proceedings and claims that arise in the ordinary course of business. The Company accrues for losses associated with legal claims when such losses are probable and can be reasonably estimated. These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accruals are adjusted as additional information becomes available or circumstances change. Related legal fees are expensed as incurred.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Restatement of Previously Issued Financial Statements</w:t>
      </w:r>
    </w:p>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Subsequent to the issuance of the consolidated financial statements for the year ended December 31, 2022, management identified errors, as described below, in previously issued financial statements. As a result the accompanying consolidated financial statements as of and for the years ended December 31, 2022 and December 31, 2021 have been restated from amounts previously reported.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Misstatements</w:t>
      </w:r>
    </w:p>
    <w:p>
      <w:pPr>
        <w:spacing w:after="0" w:line="31" w:lineRule="exact"/>
        <w:rPr>
          <w:sz w:val="20"/>
          <w:szCs w:val="20"/>
          <w:color w:val="auto"/>
        </w:rPr>
      </w:pPr>
    </w:p>
    <w:p>
      <w:pPr>
        <w:ind w:left="580" w:hanging="288"/>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Operating lease right-of-use assets </w:t>
      </w:r>
      <w:r>
        <w:rPr>
          <w:rFonts w:ascii="Times New Roman" w:cs="Times New Roman" w:eastAsia="Times New Roman" w:hAnsi="Times New Roman"/>
          <w:sz w:val="16"/>
          <w:szCs w:val="16"/>
          <w:color w:val="auto"/>
        </w:rPr>
        <w:t>- The Company had various errors in its accounting for leases, including 1) unrecorded impairment losses of ROU lease assets,</w:t>
      </w:r>
    </w:p>
    <w:p>
      <w:pPr>
        <w:spacing w:after="0" w:line="11" w:lineRule="exact"/>
        <w:rPr>
          <w:rFonts w:ascii="Times New Roman" w:cs="Times New Roman" w:eastAsia="Times New Roman" w:hAnsi="Times New Roman"/>
          <w:sz w:val="16"/>
          <w:szCs w:val="16"/>
          <w:color w:val="auto"/>
        </w:rPr>
      </w:pPr>
    </w:p>
    <w:p>
      <w:pPr>
        <w:jc w:val="both"/>
        <w:ind w:left="580" w:firstLine="6"/>
        <w:spacing w:after="0" w:line="255" w:lineRule="auto"/>
        <w:tabs>
          <w:tab w:leader="none" w:pos="76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misstatements in valuation determination, and 3) input errors of lease terms including modifications. Specifically, the Company identified that the asset group used in the evaluation of possible impairment should have been at the individual property level, which is the lowest level for which there are identifiable cash flows, rather than at a grouped or market level basis as previously used in the evaluation. The impact of assessing impairment at the individual property level resulted in $82.1 million of impairment losses for the year ended December 31, 2022 not previously recorded.</w:t>
      </w:r>
    </w:p>
    <w:p>
      <w:pPr>
        <w:spacing w:after="0" w:line="1" w:lineRule="exact"/>
        <w:rPr>
          <w:rFonts w:ascii="Times New Roman" w:cs="Times New Roman" w:eastAsia="Times New Roman" w:hAnsi="Times New Roman"/>
          <w:sz w:val="16"/>
          <w:szCs w:val="16"/>
          <w:color w:val="auto"/>
        </w:rPr>
      </w:pPr>
    </w:p>
    <w:p>
      <w:pPr>
        <w:jc w:val="both"/>
        <w:ind w:left="580" w:hanging="288"/>
        <w:spacing w:after="0" w:line="255" w:lineRule="auto"/>
        <w:tabs>
          <w:tab w:leader="none" w:pos="57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Operating lease-related </w:t>
      </w:r>
      <w:r>
        <w:rPr>
          <w:rFonts w:ascii="Times New Roman" w:cs="Times New Roman" w:eastAsia="Times New Roman" w:hAnsi="Times New Roman"/>
          <w:sz w:val="16"/>
          <w:szCs w:val="16"/>
          <w:color w:val="auto"/>
        </w:rPr>
        <w:t>- The Company identified various errors in the accounting for leases, including data inaccuracies regarding lease terms and computations,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prepayments, other lease payments, and classification of certain expenses. The correction of these errors impact various balance sheet and statement of operations balances. Certain of these errors had been previously identified and corrected in the period identified. However, in order to properly determine the amounts in item A and to restate the Company’s financial statements, these prior out-of-period corrections are being restated to be included in the appropriate original periods.</w:t>
      </w:r>
    </w:p>
    <w:p>
      <w:pPr>
        <w:spacing w:after="0" w:line="1" w:lineRule="exact"/>
        <w:rPr>
          <w:rFonts w:ascii="Times New Roman" w:cs="Times New Roman" w:eastAsia="Times New Roman" w:hAnsi="Times New Roman"/>
          <w:sz w:val="16"/>
          <w:szCs w:val="16"/>
          <w:color w:val="auto"/>
        </w:rPr>
      </w:pPr>
    </w:p>
    <w:p>
      <w:pPr>
        <w:ind w:left="580" w:hanging="288"/>
        <w:spacing w:after="0" w:line="255" w:lineRule="auto"/>
        <w:tabs>
          <w:tab w:leader="none" w:pos="57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errors - S</w:t>
      </w:r>
      <w:r>
        <w:rPr>
          <w:rFonts w:ascii="Times New Roman" w:cs="Times New Roman" w:eastAsia="Times New Roman" w:hAnsi="Times New Roman"/>
          <w:sz w:val="16"/>
          <w:szCs w:val="16"/>
          <w:color w:val="auto"/>
        </w:rPr>
        <w:t>imilar to item B above, certain of the below errors had been previously identified and corrected in the period identified. These prior out-of-period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corrections are being restated to be included in the appropriate original periods.</w:t>
      </w:r>
    </w:p>
    <w:p>
      <w:pPr>
        <w:ind w:left="1180" w:hanging="300"/>
        <w:spacing w:after="0" w:line="255" w:lineRule="auto"/>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accounting for changes in the scheduled customer stay, related invoicing and collection, and other activity resulting in misstatements in revenue, costs of revenue, and associated balance sheet accounts.</w:t>
      </w: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 payment related errors resulting in misstatements involving fixed assets, prepaid expense and associated income statement accounts.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Aged deposits that had not been timely written off resulting in misstatements involving fixed assets, prepaid expense and expenses.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of classification for certain statement of operations line items.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misstated current liabilities, primarily accrued liabilities and related income statement line items.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fair value of SPAC Warrants had been misstated due to errors in determining fair value.</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was misstated due to errors in accounting for repriced options and other stock awards.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the above error corrections.</w:t>
      </w:r>
    </w:p>
    <w:p>
      <w:pPr>
        <w:spacing w:after="0" w:line="11" w:lineRule="exact"/>
        <w:rPr>
          <w:rFonts w:ascii="Times New Roman" w:cs="Times New Roman" w:eastAsia="Times New Roman" w:hAnsi="Times New Roman"/>
          <w:sz w:val="16"/>
          <w:szCs w:val="16"/>
          <w:color w:val="auto"/>
        </w:rPr>
      </w:pPr>
    </w:p>
    <w:p>
      <w:pPr>
        <w:ind w:left="1180" w:hanging="300"/>
        <w:spacing w:after="0"/>
        <w:tabs>
          <w:tab w:leader="none" w:pos="118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translation adjustment for the impact of the above error corrections.</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accumulated deficit for the impact of the above error corrections.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Tables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effects of the restatement are as follows: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color w:val="auto"/>
              </w:rPr>
              <w:t>As of December 31, 2022</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620" w:type="dxa"/>
            <w:vAlign w:val="bottom"/>
            <w:gridSpan w:val="3"/>
          </w:tcPr>
          <w:p>
            <w:pPr>
              <w:jc w:val="center"/>
              <w:ind w:left="698"/>
              <w:spacing w:after="0"/>
              <w:rPr>
                <w:sz w:val="20"/>
                <w:szCs w:val="20"/>
                <w:color w:val="auto"/>
              </w:rPr>
            </w:pPr>
            <w:r>
              <w:rPr>
                <w:rFonts w:ascii="Times New Roman" w:cs="Times New Roman" w:eastAsia="Times New Roman" w:hAnsi="Times New Roman"/>
                <w:sz w:val="16"/>
                <w:szCs w:val="16"/>
                <w:color w:val="auto"/>
              </w:rPr>
              <w:t>Restatement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Reference</w:t>
            </w:r>
          </w:p>
        </w:tc>
        <w:tc>
          <w:tcPr>
            <w:tcW w:w="220" w:type="dxa"/>
            <w:vAlign w:val="bottom"/>
          </w:tcPr>
          <w:p>
            <w:pPr>
              <w:spacing w:after="0"/>
              <w:rPr>
                <w:sz w:val="18"/>
                <w:szCs w:val="18"/>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246,624</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246,624</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42,562</w:t>
            </w:r>
          </w:p>
        </w:tc>
        <w:tc>
          <w:tcPr>
            <w:tcW w:w="0" w:type="dxa"/>
            <w:vAlign w:val="bottom"/>
          </w:tcPr>
          <w:p>
            <w:pPr>
              <w:spacing w:after="0"/>
              <w:rPr>
                <w:sz w:val="1"/>
                <w:szCs w:val="1"/>
                <w:color w:val="auto"/>
              </w:rPr>
            </w:pPr>
          </w:p>
        </w:tc>
      </w:tr>
      <w:tr>
        <w:trPr>
          <w:trHeight w:val="212"/>
        </w:trPr>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289,186</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C1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C3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0" w:type="dxa"/>
            <w:vAlign w:val="bottom"/>
          </w:tcPr>
          <w:p>
            <w:pPr>
              <w:spacing w:after="0"/>
              <w:rPr>
                <w:sz w:val="1"/>
                <w:szCs w:val="1"/>
                <w:color w:val="auto"/>
              </w:rPr>
            </w:pPr>
          </w:p>
        </w:tc>
      </w:tr>
      <w:tr>
        <w:trPr>
          <w:trHeight w:val="212"/>
        </w:trPr>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313,848</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A, C2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32,606</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 B</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1,136,647</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C3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w:t>
            </w:r>
          </w:p>
        </w:tc>
        <w:tc>
          <w:tcPr>
            <w:tcW w:w="0" w:type="dxa"/>
            <w:vAlign w:val="bottom"/>
          </w:tcPr>
          <w:p>
            <w:pPr>
              <w:spacing w:after="0"/>
              <w:rPr>
                <w:sz w:val="1"/>
                <w:szCs w:val="1"/>
                <w:color w:val="auto"/>
              </w:rPr>
            </w:pPr>
          </w:p>
        </w:tc>
      </w:tr>
      <w:tr>
        <w:trPr>
          <w:trHeight w:val="243"/>
        </w:trPr>
        <w:tc>
          <w:tcPr>
            <w:tcW w:w="51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1,573,612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1,498,626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16,082</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C5</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16,471</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B, C5</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33,896</w:t>
            </w: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C1, C4, C8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w:t>
            </w: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 B</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153,789</w:t>
            </w:r>
          </w:p>
        </w:tc>
        <w:tc>
          <w:tcPr>
            <w:tcW w:w="0" w:type="dxa"/>
            <w:vAlign w:val="bottom"/>
          </w:tcPr>
          <w:p>
            <w:pPr>
              <w:spacing w:after="0"/>
              <w:rPr>
                <w:sz w:val="1"/>
                <w:szCs w:val="1"/>
                <w:color w:val="auto"/>
              </w:rPr>
            </w:pPr>
          </w:p>
        </w:tc>
      </w:tr>
      <w:tr>
        <w:trPr>
          <w:trHeight w:val="38"/>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260,428</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 B</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1,163,233</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172,950</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38"/>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1,600,111</w:t>
            </w: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C7</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949,001</w:t>
            </w: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 C9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13,026</w:t>
            </w:r>
          </w:p>
        </w:tc>
        <w:tc>
          <w:tcPr>
            <w:tcW w:w="0" w:type="dxa"/>
            <w:vAlign w:val="bottom"/>
          </w:tcPr>
          <w:p>
            <w:pPr>
              <w:spacing w:after="0"/>
              <w:rPr>
                <w:sz w:val="1"/>
                <w:szCs w:val="1"/>
                <w:color w:val="auto"/>
              </w:rPr>
            </w:pPr>
          </w:p>
        </w:tc>
      </w:tr>
      <w:tr>
        <w:trPr>
          <w:trHeight w:val="38"/>
        </w:trPr>
        <w:tc>
          <w:tcPr>
            <w:tcW w:w="5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C10</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(1,063,513)</w:t>
            </w:r>
          </w:p>
        </w:tc>
        <w:tc>
          <w:tcPr>
            <w:tcW w:w="0" w:type="dxa"/>
            <w:vAlign w:val="bottom"/>
          </w:tcPr>
          <w:p>
            <w:pPr>
              <w:spacing w:after="0"/>
              <w:rPr>
                <w:sz w:val="1"/>
                <w:szCs w:val="1"/>
                <w:color w:val="auto"/>
              </w:rPr>
            </w:pPr>
          </w:p>
        </w:tc>
      </w:tr>
      <w:tr>
        <w:trPr>
          <w:trHeight w:val="212"/>
        </w:trPr>
        <w:tc>
          <w:tcPr>
            <w:tcW w:w="51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(101,485)</w:t>
            </w:r>
          </w:p>
        </w:tc>
        <w:tc>
          <w:tcPr>
            <w:tcW w:w="0" w:type="dxa"/>
            <w:vAlign w:val="bottom"/>
          </w:tcPr>
          <w:p>
            <w:pPr>
              <w:spacing w:after="0"/>
              <w:rPr>
                <w:sz w:val="1"/>
                <w:szCs w:val="1"/>
                <w:color w:val="auto"/>
              </w:rPr>
            </w:pPr>
          </w:p>
        </w:tc>
      </w:tr>
      <w:tr>
        <w:trPr>
          <w:trHeight w:val="38"/>
        </w:trPr>
        <w:tc>
          <w:tcPr>
            <w:tcW w:w="5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1,498,626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For the Year Ended December 31, 2022</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3240" w:type="dxa"/>
            <w:vAlign w:val="bottom"/>
            <w:gridSpan w:val="4"/>
          </w:tcPr>
          <w:p>
            <w:pPr>
              <w:ind w:left="1080"/>
              <w:spacing w:after="0"/>
              <w:rPr>
                <w:sz w:val="20"/>
                <w:szCs w:val="20"/>
                <w:color w:val="auto"/>
              </w:rPr>
            </w:pPr>
            <w:r>
              <w:rPr>
                <w:rFonts w:ascii="Times New Roman" w:cs="Times New Roman" w:eastAsia="Times New Roman" w:hAnsi="Times New Roman"/>
                <w:sz w:val="16"/>
                <w:szCs w:val="16"/>
                <w:color w:val="auto"/>
              </w:rPr>
              <w:t>Restatement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18"/>
                <w:szCs w:val="18"/>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Reference</w:t>
            </w: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4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C1, C2, C4, C5</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 B, C3, C4</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2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 C2, C4, C5, C7</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 C1, C4, C5, C7</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C7</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C1, C4, C7</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w:t>
            </w:r>
          </w:p>
        </w:tc>
        <w:tc>
          <w:tcPr>
            <w:tcW w:w="18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120" w:type="dxa"/>
            <w:vAlign w:val="bottom"/>
          </w:tcPr>
          <w:p>
            <w:pPr>
              <w:spacing w:after="0"/>
              <w:rPr>
                <w:sz w:val="21"/>
                <w:szCs w:val="21"/>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83,182</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(79,287)</w:t>
            </w:r>
          </w:p>
        </w:tc>
        <w:tc>
          <w:tcPr>
            <w:tcW w:w="1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w:t>
            </w:r>
          </w:p>
        </w:tc>
        <w:tc>
          <w:tcPr>
            <w:tcW w:w="18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(income) expense, net</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(121,403)</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C8</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(165,742)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(165,742)</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(79,289)</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C9</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(160,056)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(79,248)</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2"/>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4"/>
        </w:trPr>
        <w:tc>
          <w:tcPr>
            <w:tcW w:w="6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33"/>
        </w:trPr>
        <w:tc>
          <w:tcPr>
            <w:tcW w:w="20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6860" w:type="dxa"/>
            <w:vAlign w:val="bottom"/>
            <w:gridSpan w:val="4"/>
          </w:tcPr>
          <w:p>
            <w:pPr>
              <w:jc w:val="center"/>
              <w:ind w:left="1998"/>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3"/>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00" w:type="dxa"/>
            <w:vAlign w:val="bottom"/>
          </w:tcPr>
          <w:p>
            <w:pPr>
              <w:jc w:val="center"/>
              <w:ind w:left="355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5"/>
        </w:trPr>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40" w:type="dxa"/>
            <w:vAlign w:val="bottom"/>
            <w:gridSpan w:val="7"/>
          </w:tcPr>
          <w:p>
            <w:pPr>
              <w:jc w:val="center"/>
              <w:ind w:right="106"/>
              <w:spacing w:after="0"/>
              <w:rPr>
                <w:sz w:val="20"/>
                <w:szCs w:val="20"/>
                <w:color w:val="auto"/>
              </w:rPr>
            </w:pPr>
            <w:r>
              <w:rPr>
                <w:rFonts w:ascii="Times New Roman" w:cs="Times New Roman" w:eastAsia="Times New Roman" w:hAnsi="Times New Roman"/>
                <w:sz w:val="16"/>
                <w:szCs w:val="16"/>
                <w:color w:val="auto"/>
              </w:rPr>
              <w:t>For the Year Ended December 31, 2022</w:t>
            </w:r>
          </w:p>
        </w:tc>
      </w:tr>
      <w:tr>
        <w:trPr>
          <w:trHeight w:val="25"/>
        </w:trPr>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5"/>
        </w:trPr>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6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78"/>
        </w:trPr>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(165,742)</w:t>
            </w:r>
          </w:p>
        </w:tc>
        <w:tc>
          <w:tcPr>
            <w:tcW w:w="8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(79,289)</w:t>
            </w:r>
          </w:p>
        </w:tc>
        <w:tc>
          <w:tcPr>
            <w:tcW w:w="8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(245,031)</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23,911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23,914</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22,957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24,337</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145,250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142,391</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Impairment loss</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82,050</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Loss (gain) on foreign exchange</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6,590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6,590</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18,359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18,359</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3,802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3,802</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Change in fair value of share-settled redemption feature and gain on conversion of convertible notes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(29,512)</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(25,190)</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(95,700)</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(3,135)</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11,903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8,390</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(21,506)</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10,434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19,105</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6,074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6,243</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22,400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22,400</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(86,410)</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20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95"/>
        </w:trPr>
        <w:tc>
          <w:tcPr>
            <w:tcW w:w="200" w:type="dxa"/>
            <w:vAlign w:val="bottom"/>
          </w:tcPr>
          <w:p>
            <w:pPr>
              <w:spacing w:after="0"/>
              <w:rPr>
                <w:sz w:val="16"/>
                <w:szCs w:val="16"/>
                <w:color w:val="auto"/>
              </w:rPr>
            </w:pPr>
          </w:p>
        </w:tc>
        <w:tc>
          <w:tcPr>
            <w:tcW w:w="62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(149,015)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(149,988)</w:t>
            </w:r>
          </w:p>
        </w:tc>
      </w:tr>
      <w:tr>
        <w:trPr>
          <w:trHeight w:val="29"/>
        </w:trPr>
        <w:tc>
          <w:tcPr>
            <w:tcW w:w="20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200" w:type="dxa"/>
            <w:vAlign w:val="bottom"/>
          </w:tcPr>
          <w:p>
            <w:pPr>
              <w:spacing w:after="0"/>
              <w:rPr>
                <w:sz w:val="16"/>
                <w:szCs w:val="16"/>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(26,897)</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3"/>
        </w:trPr>
        <w:tc>
          <w:tcPr>
            <w:tcW w:w="200" w:type="dxa"/>
            <w:vAlign w:val="bottom"/>
          </w:tcPr>
          <w:p>
            <w:pPr>
              <w:spacing w:after="0"/>
              <w:rPr>
                <w:sz w:val="20"/>
                <w:szCs w:val="20"/>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(2,796)</w:t>
            </w:r>
          </w:p>
        </w:tc>
      </w:tr>
      <w:tr>
        <w:trPr>
          <w:trHeight w:val="195"/>
        </w:trPr>
        <w:tc>
          <w:tcPr>
            <w:tcW w:w="200" w:type="dxa"/>
            <w:vAlign w:val="bottom"/>
          </w:tcPr>
          <w:p>
            <w:pPr>
              <w:spacing w:after="0"/>
              <w:rPr>
                <w:sz w:val="16"/>
                <w:szCs w:val="16"/>
                <w:color w:val="auto"/>
              </w:rPr>
            </w:pPr>
          </w:p>
        </w:tc>
        <w:tc>
          <w:tcPr>
            <w:tcW w:w="62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(30,993)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(29,693)</w:t>
            </w:r>
          </w:p>
        </w:tc>
      </w:tr>
      <w:tr>
        <w:trPr>
          <w:trHeight w:val="29"/>
        </w:trPr>
        <w:tc>
          <w:tcPr>
            <w:tcW w:w="20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200" w:type="dxa"/>
            <w:vAlign w:val="bottom"/>
          </w:tcPr>
          <w:p>
            <w:pPr>
              <w:spacing w:after="0"/>
              <w:rPr>
                <w:sz w:val="16"/>
                <w:szCs w:val="16"/>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Proceeds from Delayed Draw Notes</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159,225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159,225</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Repayment of debt and related fees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(27,745)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(27,745)</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Proceeds from business combination and PIPE offering</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325,928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325,928</w:t>
            </w:r>
          </w:p>
        </w:tc>
      </w:tr>
      <w:tr>
        <w:trPr>
          <w:trHeight w:val="29"/>
        </w:trPr>
        <w:tc>
          <w:tcPr>
            <w:tcW w:w="200" w:type="dxa"/>
            <w:vAlign w:val="bottom"/>
          </w:tcPr>
          <w:p>
            <w:pPr>
              <w:spacing w:after="0"/>
              <w:rPr>
                <w:sz w:val="2"/>
                <w:szCs w:val="2"/>
                <w:color w:val="auto"/>
              </w:rPr>
            </w:pPr>
          </w:p>
        </w:tc>
        <w:tc>
          <w:tcPr>
            <w:tcW w:w="6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3"/>
        </w:trPr>
        <w:tc>
          <w:tcPr>
            <w:tcW w:w="200" w:type="dxa"/>
            <w:vAlign w:val="bottom"/>
          </w:tcPr>
          <w:p>
            <w:pPr>
              <w:spacing w:after="0"/>
              <w:rPr>
                <w:sz w:val="18"/>
                <w:szCs w:val="18"/>
                <w:color w:val="auto"/>
              </w:rPr>
            </w:pPr>
          </w:p>
        </w:tc>
        <w:tc>
          <w:tcPr>
            <w:tcW w:w="6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Common stock issuance costs</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(58,555)</w:t>
            </w:r>
          </w:p>
        </w:tc>
      </w:tr>
      <w:tr>
        <w:trPr>
          <w:trHeight w:val="203"/>
        </w:trPr>
        <w:tc>
          <w:tcPr>
            <w:tcW w:w="200" w:type="dxa"/>
            <w:vAlign w:val="bottom"/>
          </w:tcPr>
          <w:p>
            <w:pPr>
              <w:spacing w:after="0"/>
              <w:rPr>
                <w:sz w:val="17"/>
                <w:szCs w:val="17"/>
                <w:color w:val="auto"/>
              </w:rPr>
            </w:pP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w:t>
            </w:r>
          </w:p>
        </w:tc>
      </w:tr>
      <w:tr>
        <w:trPr>
          <w:trHeight w:val="29"/>
        </w:trPr>
        <w:tc>
          <w:tcPr>
            <w:tcW w:w="20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200" w:type="dxa"/>
            <w:vAlign w:val="bottom"/>
          </w:tcPr>
          <w:p>
            <w:pPr>
              <w:spacing w:after="0"/>
              <w:rPr>
                <w:sz w:val="19"/>
                <w:szCs w:val="19"/>
                <w:color w:val="auto"/>
              </w:rPr>
            </w:pPr>
          </w:p>
        </w:tc>
        <w:tc>
          <w:tcPr>
            <w:tcW w:w="62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400,599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400,599</w:t>
            </w:r>
          </w:p>
        </w:tc>
      </w:tr>
      <w:tr>
        <w:trPr>
          <w:trHeight w:val="195"/>
        </w:trPr>
        <w:tc>
          <w:tcPr>
            <w:tcW w:w="20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w:t>
            </w:r>
          </w:p>
        </w:tc>
      </w:tr>
      <w:tr>
        <w:trPr>
          <w:trHeight w:val="29"/>
        </w:trPr>
        <w:tc>
          <w:tcPr>
            <w:tcW w:w="20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5"/>
        </w:trPr>
        <w:tc>
          <w:tcPr>
            <w:tcW w:w="200" w:type="dxa"/>
            <w:vAlign w:val="bottom"/>
          </w:tcPr>
          <w:p>
            <w:pPr>
              <w:spacing w:after="0"/>
              <w:rPr>
                <w:sz w:val="17"/>
                <w:szCs w:val="17"/>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219,245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219,245</w:t>
            </w:r>
          </w:p>
        </w:tc>
      </w:tr>
      <w:tr>
        <w:trPr>
          <w:trHeight w:val="203"/>
        </w:trPr>
        <w:tc>
          <w:tcPr>
            <w:tcW w:w="20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69,941</w:t>
            </w:r>
          </w:p>
        </w:tc>
      </w:tr>
      <w:tr>
        <w:trPr>
          <w:trHeight w:val="29"/>
        </w:trPr>
        <w:tc>
          <w:tcPr>
            <w:tcW w:w="200" w:type="dxa"/>
            <w:vAlign w:val="bottom"/>
          </w:tcPr>
          <w:p>
            <w:pPr>
              <w:spacing w:after="0"/>
              <w:rPr>
                <w:sz w:val="2"/>
                <w:szCs w:val="2"/>
                <w:color w:val="auto"/>
              </w:rPr>
            </w:pPr>
          </w:p>
        </w:tc>
        <w:tc>
          <w:tcPr>
            <w:tcW w:w="62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200" w:type="dxa"/>
            <w:vAlign w:val="bottom"/>
          </w:tcPr>
          <w:p>
            <w:pPr>
              <w:spacing w:after="0"/>
              <w:rPr>
                <w:sz w:val="21"/>
                <w:szCs w:val="21"/>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289,186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289,186</w:t>
            </w:r>
          </w:p>
        </w:tc>
      </w:tr>
      <w:tr>
        <w:trPr>
          <w:trHeight w:val="20"/>
        </w:trPr>
        <w:tc>
          <w:tcPr>
            <w:tcW w:w="20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750"/>
        </w:trPr>
        <w:tc>
          <w:tcPr>
            <w:tcW w:w="11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55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 STATEMENT OF STOCKHOLDERS’ DEFICIT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5"/>
        </w:trPr>
        <w:tc>
          <w:tcPr>
            <w:tcW w:w="1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As Previously</w:t>
            </w:r>
          </w:p>
        </w:tc>
        <w:tc>
          <w:tcPr>
            <w:tcW w:w="260" w:type="dxa"/>
            <w:vAlign w:val="bottom"/>
          </w:tcPr>
          <w:p>
            <w:pPr>
              <w:spacing w:after="0"/>
              <w:rPr>
                <w:sz w:val="21"/>
                <w:szCs w:val="21"/>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Restatement</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5"/>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Reported</w:t>
            </w:r>
          </w:p>
        </w:tc>
        <w:tc>
          <w:tcPr>
            <w:tcW w:w="260" w:type="dxa"/>
            <w:vAlign w:val="bottom"/>
          </w:tcPr>
          <w:p>
            <w:pPr>
              <w:spacing w:after="0"/>
              <w:rPr>
                <w:sz w:val="21"/>
                <w:szCs w:val="21"/>
                <w:color w:val="auto"/>
              </w:rPr>
            </w:pPr>
          </w:p>
        </w:tc>
        <w:tc>
          <w:tcPr>
            <w:tcW w:w="13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Adjustments</w:t>
            </w:r>
          </w:p>
        </w:tc>
        <w:tc>
          <w:tcPr>
            <w:tcW w:w="28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2560" w:type="dxa"/>
            <w:vAlign w:val="bottom"/>
            <w:tcBorders>
              <w:bottom w:val="single" w:sz="8" w:color="auto"/>
            </w:tcBorders>
            <w:gridSpan w:val="2"/>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29"/>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4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(520,425)</w:t>
            </w:r>
          </w:p>
        </w:tc>
        <w:tc>
          <w:tcPr>
            <w:tcW w:w="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(524,527)</w:t>
            </w:r>
          </w:p>
        </w:tc>
      </w:tr>
      <w:tr>
        <w:trPr>
          <w:trHeight w:val="21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(814,812)</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(818,482)</w:t>
            </w:r>
          </w:p>
        </w:tc>
      </w:tr>
      <w:tr>
        <w:trPr>
          <w:trHeight w:val="38"/>
        </w:trPr>
        <w:tc>
          <w:tcPr>
            <w:tcW w:w="2560" w:type="dxa"/>
            <w:vAlign w:val="bottom"/>
            <w:gridSpan w:val="2"/>
          </w:tcPr>
          <w:p>
            <w:pPr>
              <w:spacing w:after="0"/>
              <w:rPr>
                <w:sz w:val="3"/>
                <w:szCs w:val="3"/>
                <w:color w:val="auto"/>
              </w:rPr>
            </w:pPr>
          </w:p>
        </w:tc>
        <w:tc>
          <w:tcPr>
            <w:tcW w:w="3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98"/>
        </w:trPr>
        <w:tc>
          <w:tcPr>
            <w:tcW w:w="2560" w:type="dxa"/>
            <w:vAlign w:val="bottom"/>
            <w:gridSpan w:val="2"/>
            <w:shd w:val="clear" w:color="auto" w:fill="CCEEFF"/>
          </w:tcPr>
          <w:p>
            <w:pPr>
              <w:spacing w:after="0"/>
              <w:rPr>
                <w:sz w:val="8"/>
                <w:szCs w:val="8"/>
                <w:color w:val="auto"/>
              </w:rPr>
            </w:pPr>
          </w:p>
        </w:tc>
        <w:tc>
          <w:tcPr>
            <w:tcW w:w="39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21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2560" w:type="dxa"/>
            <w:vAlign w:val="bottom"/>
            <w:tcBorders>
              <w:bottom w:val="single" w:sz="8" w:color="auto"/>
            </w:tcBorders>
            <w:gridSpan w:val="2"/>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29"/>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4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(500,860)</w:t>
            </w:r>
          </w:p>
        </w:tc>
        <w:tc>
          <w:tcPr>
            <w:tcW w:w="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(504,962)</w:t>
            </w:r>
          </w:p>
        </w:tc>
      </w:tr>
      <w:tr>
        <w:trPr>
          <w:trHeight w:val="21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(764,406)</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(768,076)</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CONSOLIDATED STATEMENT OF OPERATIONS AND COMPREHENSIVE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440" w:type="dxa"/>
            <w:vAlign w:val="bottom"/>
            <w:gridSpan w:val="5"/>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4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 2021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
        </w:trPr>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As Previously</w:t>
            </w:r>
          </w:p>
        </w:tc>
        <w:tc>
          <w:tcPr>
            <w:tcW w:w="260" w:type="dxa"/>
            <w:vAlign w:val="bottom"/>
          </w:tcPr>
          <w:p>
            <w:pPr>
              <w:spacing w:after="0"/>
              <w:rPr>
                <w:sz w:val="18"/>
                <w:szCs w:val="18"/>
                <w:color w:val="auto"/>
              </w:rPr>
            </w:pPr>
          </w:p>
        </w:tc>
        <w:tc>
          <w:tcPr>
            <w:tcW w:w="312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Restatement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4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260" w:type="dxa"/>
            <w:vAlign w:val="bottom"/>
          </w:tcPr>
          <w:p>
            <w:pPr>
              <w:spacing w:after="0"/>
              <w:rPr>
                <w:sz w:val="18"/>
                <w:szCs w:val="18"/>
                <w:color w:val="auto"/>
              </w:rPr>
            </w:pPr>
          </w:p>
        </w:tc>
        <w:tc>
          <w:tcPr>
            <w:tcW w:w="116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Reference</w:t>
            </w:r>
          </w:p>
        </w:tc>
        <w:tc>
          <w:tcPr>
            <w:tcW w:w="200" w:type="dxa"/>
            <w:vAlign w:val="bottom"/>
          </w:tcPr>
          <w:p>
            <w:pPr>
              <w:spacing w:after="0"/>
              <w:rPr>
                <w:sz w:val="18"/>
                <w:szCs w:val="18"/>
                <w:color w:val="auto"/>
              </w:rPr>
            </w:pPr>
          </w:p>
        </w:tc>
        <w:tc>
          <w:tcPr>
            <w:tcW w:w="12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66"/>
        </w:trPr>
        <w:tc>
          <w:tcPr>
            <w:tcW w:w="4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C1, C2, C5, B</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234,145</w:t>
            </w: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C3</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202,323</w:t>
            </w:r>
          </w:p>
        </w:tc>
      </w:tr>
      <w:tr>
        <w:trPr>
          <w:trHeight w:val="219"/>
        </w:trPr>
        <w:tc>
          <w:tcPr>
            <w:tcW w:w="4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9"/>
                <w:szCs w:val="19"/>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C2, C5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143,083</w:t>
            </w:r>
          </w:p>
        </w:tc>
      </w:tr>
      <w:tr>
        <w:trPr>
          <w:trHeight w:val="38"/>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C1, C7</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105,671</w:t>
            </w:r>
          </w:p>
        </w:tc>
      </w:tr>
      <w:tr>
        <w:trPr>
          <w:trHeight w:val="219"/>
        </w:trPr>
        <w:tc>
          <w:tcPr>
            <w:tcW w:w="4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r>
      <w:tr>
        <w:trPr>
          <w:trHeight w:val="38"/>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23,490</w:t>
            </w:r>
          </w:p>
        </w:tc>
      </w:tr>
      <w:tr>
        <w:trPr>
          <w:trHeight w:val="212"/>
        </w:trPr>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492,889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493,658</w:t>
            </w:r>
          </w:p>
        </w:tc>
      </w:tr>
      <w:tr>
        <w:trPr>
          <w:trHeight w:val="38"/>
        </w:trPr>
        <w:tc>
          <w:tcPr>
            <w:tcW w:w="4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9"/>
        </w:trPr>
        <w:tc>
          <w:tcPr>
            <w:tcW w:w="43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(259,945)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(259,513)</w:t>
            </w:r>
          </w:p>
        </w:tc>
      </w:tr>
      <w:tr>
        <w:trPr>
          <w:trHeight w:val="233"/>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44,090</w:t>
            </w: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(9,890)</w:t>
            </w:r>
          </w:p>
        </w:tc>
      </w:tr>
      <w:tr>
        <w:trPr>
          <w:trHeight w:val="38"/>
        </w:trPr>
        <w:tc>
          <w:tcPr>
            <w:tcW w:w="4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9"/>
        </w:trPr>
        <w:tc>
          <w:tcPr>
            <w:tcW w:w="4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34,200</w:t>
            </w:r>
          </w:p>
        </w:tc>
      </w:tr>
      <w:tr>
        <w:trPr>
          <w:trHeight w:val="212"/>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(294,145)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(293,713)</w:t>
            </w:r>
          </w:p>
        </w:tc>
      </w:tr>
      <w:tr>
        <w:trPr>
          <w:trHeight w:val="38"/>
        </w:trPr>
        <w:tc>
          <w:tcPr>
            <w:tcW w:w="4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(294,387)</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(293,955)</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4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51"/>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(500.41)</w:t>
            </w:r>
          </w:p>
        </w:tc>
        <w:tc>
          <w:tcPr>
            <w:tcW w:w="80" w:type="dxa"/>
            <w:vAlign w:val="bottom"/>
          </w:tcPr>
          <w:p>
            <w:pPr>
              <w:spacing w:after="0"/>
              <w:rPr>
                <w:sz w:val="21"/>
                <w:szCs w:val="21"/>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(499.67)</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
        </w:trPr>
        <w:tc>
          <w:tcPr>
            <w:tcW w:w="4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7"/>
        </w:trPr>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(294,387)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(293,955)</w:t>
            </w:r>
          </w:p>
        </w:tc>
      </w:tr>
      <w:tr>
        <w:trPr>
          <w:trHeight w:val="219"/>
        </w:trPr>
        <w:tc>
          <w:tcPr>
            <w:tcW w:w="4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38"/>
        </w:trPr>
        <w:tc>
          <w:tcPr>
            <w:tcW w:w="430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8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(292,322)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67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7300" w:type="dxa"/>
            <w:vAlign w:val="bottom"/>
            <w:gridSpan w:val="4"/>
          </w:tcPr>
          <w:p>
            <w:pPr>
              <w:jc w:val="center"/>
              <w:ind w:left="1558"/>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0" w:type="dxa"/>
            <w:vAlign w:val="bottom"/>
          </w:tcPr>
          <w:p>
            <w:pPr>
              <w:jc w:val="center"/>
              <w:ind w:left="325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60" w:type="dxa"/>
            <w:vAlign w:val="bottom"/>
            <w:gridSpan w:val="7"/>
          </w:tcPr>
          <w:p>
            <w:pPr>
              <w:jc w:val="right"/>
              <w:ind w:right="866"/>
              <w:spacing w:after="0"/>
              <w:rPr>
                <w:sz w:val="20"/>
                <w:szCs w:val="20"/>
                <w:color w:val="auto"/>
              </w:rPr>
            </w:pPr>
            <w:r>
              <w:rPr>
                <w:rFonts w:ascii="Times New Roman" w:cs="Times New Roman" w:eastAsia="Times New Roman" w:hAnsi="Times New Roman"/>
                <w:sz w:val="16"/>
                <w:szCs w:val="16"/>
                <w:color w:val="auto"/>
              </w:rPr>
              <w:t>For the Year Ended December 31, 2021</w:t>
            </w:r>
          </w:p>
        </w:tc>
      </w:tr>
      <w:tr>
        <w:trPr>
          <w:trHeight w:val="25"/>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1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Restatement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8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21"/>
                <w:szCs w:val="21"/>
                <w:color w:val="auto"/>
              </w:rPr>
            </w:pPr>
          </w:p>
        </w:tc>
        <w:tc>
          <w:tcPr>
            <w:tcW w:w="1120" w:type="dxa"/>
            <w:vAlign w:val="bottom"/>
          </w:tcPr>
          <w:p>
            <w:pPr>
              <w:jc w:val="right"/>
              <w:ind w:right="18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8"/>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Net loss</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(294,387)</w:t>
            </w:r>
          </w:p>
        </w:tc>
        <w:tc>
          <w:tcPr>
            <w:tcW w:w="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(293,955)</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17,714</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25,247</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Straight-line rent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37,525</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Loss on foreign exchange</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2,378</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35,067</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share-settled redemption feature and gain on conversion of convertible notes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(14,834)</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warrants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2,148</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(3,067)</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4,400</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(22,284)</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8,593</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10,762</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7,123</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w:t>
            </w:r>
          </w:p>
        </w:tc>
      </w:tr>
      <w:tr>
        <w:trPr>
          <w:trHeight w:val="195"/>
        </w:trPr>
        <w:tc>
          <w:tcPr>
            <w:tcW w:w="20" w:type="dxa"/>
            <w:vAlign w:val="bottom"/>
          </w:tcPr>
          <w:p>
            <w:pPr>
              <w:spacing w:after="0"/>
              <w:rPr>
                <w:sz w:val="16"/>
                <w:szCs w:val="16"/>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(179,391)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(179,949)</w:t>
            </w:r>
          </w:p>
        </w:tc>
      </w:tr>
      <w:tr>
        <w:trPr>
          <w:trHeight w:val="29"/>
        </w:trPr>
        <w:tc>
          <w:tcPr>
            <w:tcW w:w="20" w:type="dxa"/>
            <w:vAlign w:val="bottom"/>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(15,603)</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(5,426)</w:t>
            </w:r>
          </w:p>
        </w:tc>
      </w:tr>
      <w:tr>
        <w:trPr>
          <w:trHeight w:val="195"/>
        </w:trPr>
        <w:tc>
          <w:tcPr>
            <w:tcW w:w="20" w:type="dxa"/>
            <w:vAlign w:val="bottom"/>
          </w:tcPr>
          <w:p>
            <w:pPr>
              <w:spacing w:after="0"/>
              <w:rPr>
                <w:sz w:val="16"/>
                <w:szCs w:val="16"/>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(21,587)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(21,029)</w:t>
            </w:r>
          </w:p>
        </w:tc>
      </w:tr>
      <w:tr>
        <w:trPr>
          <w:trHeight w:val="29"/>
        </w:trPr>
        <w:tc>
          <w:tcPr>
            <w:tcW w:w="20" w:type="dxa"/>
            <w:vAlign w:val="bottom"/>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Repayment of debt and payment of early termination fees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(18,776)</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6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162,366</w:t>
            </w:r>
          </w:p>
        </w:tc>
      </w:tr>
      <w:tr>
        <w:trPr>
          <w:trHeight w:val="203"/>
        </w:trPr>
        <w:tc>
          <w:tcPr>
            <w:tcW w:w="20" w:type="dxa"/>
            <w:vAlign w:val="bottom"/>
          </w:tcPr>
          <w:p>
            <w:pPr>
              <w:spacing w:after="0"/>
              <w:rPr>
                <w:sz w:val="17"/>
                <w:szCs w:val="17"/>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Issuance of redeemable convertible preferred stock</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w:t>
            </w:r>
          </w:p>
        </w:tc>
      </w:tr>
      <w:tr>
        <w:trPr>
          <w:trHeight w:val="195"/>
        </w:trPr>
        <w:tc>
          <w:tcPr>
            <w:tcW w:w="20" w:type="dxa"/>
            <w:vAlign w:val="bottom"/>
          </w:tcPr>
          <w:p>
            <w:pPr>
              <w:spacing w:after="0"/>
              <w:rPr>
                <w:sz w:val="16"/>
                <w:szCs w:val="16"/>
                <w:color w:val="auto"/>
              </w:rPr>
            </w:pPr>
          </w:p>
        </w:tc>
        <w:tc>
          <w:tcPr>
            <w:tcW w:w="674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148,571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148,571</w:t>
            </w:r>
          </w:p>
        </w:tc>
      </w:tr>
      <w:tr>
        <w:trPr>
          <w:trHeight w:val="29"/>
        </w:trPr>
        <w:tc>
          <w:tcPr>
            <w:tcW w:w="20" w:type="dxa"/>
            <w:vAlign w:val="bottom"/>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r>
      <w:tr>
        <w:trPr>
          <w:trHeight w:val="195"/>
        </w:trPr>
        <w:tc>
          <w:tcPr>
            <w:tcW w:w="20" w:type="dxa"/>
            <w:vAlign w:val="bottom"/>
          </w:tcPr>
          <w:p>
            <w:pPr>
              <w:spacing w:after="0"/>
              <w:rPr>
                <w:sz w:val="16"/>
                <w:szCs w:val="16"/>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(53,167)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(53,167)</w:t>
            </w:r>
          </w:p>
        </w:tc>
      </w:tr>
      <w:tr>
        <w:trPr>
          <w:trHeight w:val="29"/>
        </w:trPr>
        <w:tc>
          <w:tcPr>
            <w:tcW w:w="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123,108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123,108</w:t>
            </w:r>
          </w:p>
        </w:tc>
      </w:tr>
      <w:tr>
        <w:trPr>
          <w:trHeight w:val="222"/>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69,941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Recently Issued Accounting Standards</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The following reflect recent accounting standards that have been adopted or are pending adoption by the Company. As discussed in Note 1, </w:t>
      </w:r>
      <w:r>
        <w:rPr>
          <w:rFonts w:ascii="Times New Roman" w:cs="Times New Roman" w:eastAsia="Times New Roman" w:hAnsi="Times New Roman"/>
          <w:sz w:val="16"/>
          <w:szCs w:val="16"/>
          <w:i w:val="1"/>
          <w:iCs w:val="1"/>
          <w:color w:val="auto"/>
        </w:rPr>
        <w:t>Basis of Presentation</w:t>
      </w:r>
      <w:r>
        <w:rPr>
          <w:rFonts w:ascii="Times New Roman" w:cs="Times New Roman" w:eastAsia="Times New Roman" w:hAnsi="Times New Roman"/>
          <w:sz w:val="16"/>
          <w:szCs w:val="16"/>
          <w:color w:val="auto"/>
        </w:rPr>
        <w:t>,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accounting standards discussed below indicate effective dates for the Company as an emerging growth company with the extended transition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Adopted Accounting Standards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In June 2016, the Financial Accounting Standards Board (“FASB”) issued ASU 2016-13, </w:t>
      </w:r>
      <w:r>
        <w:rPr>
          <w:rFonts w:ascii="Times New Roman" w:cs="Times New Roman" w:eastAsia="Times New Roman" w:hAnsi="Times New Roman"/>
          <w:sz w:val="16"/>
          <w:szCs w:val="16"/>
          <w:i w:val="1"/>
          <w:iCs w:val="1"/>
          <w:color w:val="auto"/>
        </w:rPr>
        <w:t>Financial Instruments-Credit Losses (Topic 326): Measurement of Credit Losses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 Financial Instruments</w:t>
      </w:r>
      <w:r>
        <w:rPr>
          <w:rFonts w:ascii="Times New Roman" w:cs="Times New Roman" w:eastAsia="Times New Roman" w:hAnsi="Times New Roman"/>
          <w:sz w:val="16"/>
          <w:szCs w:val="16"/>
          <w:color w:val="auto"/>
        </w:rPr>
        <w:t>, which has subsequently been amended by ASUs 2018-19, 2019-04, 2019-05, 2019-10, and 2019-11. The guidance changes how entities measure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losses for most financial assets and certain other instruments that are not measured at fair value through net income. The guidance replaces the current ‘incurred loss’ model with an ‘expected loss’ approach. This generally will result in the earlier recognition of allowances for losses and requires increased disclosures. ASU 2016-13 was effective for public business entities for fiscal years beginning after December 15, 2019. In November 2019, the FASB issued amended guidance which defers the effective date for emerging growth companies for fiscal years beginning after December 15, 2022, and interim periods therein. The Company adopted this guidance on January 1, 2023 using the modified retrospective basis. The adoption did not have a material impact on the Company’s consolidated financial statements.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February 2016, the Financial Accounting Standards Board (the “FASB”) issued Accounting Standards Update (“ASU”) 2016-02, Leases (Topic 842), which has subsequently been amended by ASUs 2018-01, 2018-10, 2018-11, 2018-20, 2019-01, 2019-10, and 2020-05. The guidance requires the recognition of ROU assets and lease liabilities on the balance sheet for substantially all leases under U.S. GAAP. The Company has elected to use the transition relief approach as provided in ASU 2018-11, which permits the Company to use January 1, 2022 as both the application date and the adoption date, rather than the modified retrospective approach. The Company also elected certain relief options offered within the new standard, which include the package of practical expedients, the option not to recognize an ROU asset and lease liability that arise from short-term leases (i.e., leases with terms of 12 months or less), and the option of hindsight when determining lease term. Substantially all of the Company’s lease agreements are considered operating leases and were not previously recognized on the Company’s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Issued Accounting Standards Not Yet Adopted</w:t>
      </w:r>
    </w:p>
    <w:p>
      <w:pPr>
        <w:spacing w:after="0" w:line="2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On November 27, 2023, the FASB issued ASU No.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evaluating the disclosure impact of ASU 2023-07; however, the standard will not have a material impact on the Company’s consolidated financial statements.</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On December 14, 2023, the FASB issued ASU No.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and its impact on the Company’s consolidated financial statements.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March 2024, the SEC adopted final rules requiring public entities to provide certain climate-related information in their registration statements and annual reports. As part of the disclosures, entities will be required to quantify certain effects of severe weather events and other natural conditions in a note to their audited financial statements. The rules will be effective for annual periods beginning in calendar 2025. In April 2024, the SEC voluntarily stayed implementation of the final rules pending certain legal challenges. We are assessing the effect of the new rules on our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Revenue</w:t>
      </w:r>
    </w:p>
    <w:p>
      <w:pPr>
        <w:spacing w:after="0" w:line="2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The Company generates revenues primarily by providing accommodations to its guests. Direct revenue is generated from stays booked through Sonder.com, the Sonder app, or directly through the Company's sales personnel. Indirect revenue is generated from stays booked through OTAs.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disaggregated between direct and indirect revenue is as follows (in thousands):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
        </w:trPr>
        <w:tc>
          <w:tcPr>
            <w:tcW w:w="57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revenue</w:t>
            </w:r>
          </w:p>
        </w:tc>
        <w:tc>
          <w:tcPr>
            <w:tcW w:w="1120" w:type="dxa"/>
            <w:vAlign w:val="bottom"/>
            <w:tcBorders>
              <w:bottom w:val="single" w:sz="8" w:color="CCEEFF"/>
            </w:tcBorders>
            <w:shd w:val="clear" w:color="auto" w:fill="CCEEFF"/>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120,617</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Indirect revenue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113,528</w:t>
            </w:r>
          </w:p>
        </w:tc>
      </w:tr>
      <w:tr>
        <w:trPr>
          <w:trHeight w:val="38"/>
        </w:trPr>
        <w:tc>
          <w:tcPr>
            <w:tcW w:w="5760" w:type="dxa"/>
            <w:vAlign w:val="bottom"/>
            <w:tcBorders>
              <w:bottom w:val="single" w:sz="8" w:color="CCEEFF"/>
            </w:tcBorders>
          </w:tcPr>
          <w:p>
            <w:pPr>
              <w:spacing w:after="0"/>
              <w:rPr>
                <w:sz w:val="3"/>
                <w:szCs w:val="3"/>
                <w:color w:val="auto"/>
              </w:rPr>
            </w:pPr>
          </w:p>
        </w:tc>
        <w:tc>
          <w:tcPr>
            <w:tcW w:w="1120" w:type="dxa"/>
            <w:vAlign w:val="bottom"/>
            <w:tcBorders>
              <w:bottom w:val="single" w:sz="8" w:color="494949"/>
            </w:tcBorders>
          </w:tcPr>
          <w:p>
            <w:pPr>
              <w:spacing w:after="0"/>
              <w:rPr>
                <w:sz w:val="3"/>
                <w:szCs w:val="3"/>
                <w:color w:val="auto"/>
              </w:rPr>
            </w:pPr>
          </w:p>
        </w:tc>
        <w:tc>
          <w:tcPr>
            <w:tcW w:w="640" w:type="dxa"/>
            <w:vAlign w:val="bottom"/>
            <w:tcBorders>
              <w:bottom w:val="single" w:sz="8" w:color="494949"/>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494949"/>
            </w:tcBorders>
          </w:tcPr>
          <w:p>
            <w:pPr>
              <w:spacing w:after="0"/>
              <w:rPr>
                <w:sz w:val="3"/>
                <w:szCs w:val="3"/>
                <w:color w:val="auto"/>
              </w:rPr>
            </w:pPr>
          </w:p>
        </w:tc>
        <w:tc>
          <w:tcPr>
            <w:tcW w:w="1360" w:type="dxa"/>
            <w:vAlign w:val="bottom"/>
            <w:tcBorders>
              <w:bottom w:val="single" w:sz="8" w:color="494949"/>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494949"/>
            </w:tcBorders>
          </w:tcPr>
          <w:p>
            <w:pPr>
              <w:spacing w:after="0"/>
              <w:rPr>
                <w:sz w:val="3"/>
                <w:szCs w:val="3"/>
                <w:color w:val="auto"/>
              </w:rPr>
            </w:pPr>
          </w:p>
        </w:tc>
        <w:tc>
          <w:tcPr>
            <w:tcW w:w="1380" w:type="dxa"/>
            <w:vAlign w:val="bottom"/>
            <w:tcBorders>
              <w:bottom w:val="single" w:sz="8" w:color="494949"/>
            </w:tcBorders>
          </w:tcPr>
          <w:p>
            <w:pPr>
              <w:spacing w:after="0"/>
              <w:rPr>
                <w:sz w:val="3"/>
                <w:szCs w:val="3"/>
                <w:color w:val="auto"/>
              </w:rPr>
            </w:pPr>
          </w:p>
        </w:tc>
      </w:tr>
      <w:tr>
        <w:trPr>
          <w:trHeight w:val="268"/>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tcBorders>
              <w:bottom w:val="single" w:sz="8" w:color="494949"/>
            </w:tcBorders>
            <w:shd w:val="clear" w:color="auto" w:fill="CCEEFF"/>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494949"/>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494949"/>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494949"/>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494949"/>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494949"/>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234,145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494949"/>
            </w:tcBorders>
          </w:tcPr>
          <w:p>
            <w:pPr>
              <w:spacing w:after="0" w:line="20" w:lineRule="exact"/>
              <w:rPr>
                <w:sz w:val="1"/>
                <w:szCs w:val="1"/>
                <w:color w:val="auto"/>
              </w:rPr>
            </w:pPr>
          </w:p>
        </w:tc>
        <w:tc>
          <w:tcPr>
            <w:tcW w:w="640" w:type="dxa"/>
            <w:vAlign w:val="bottom"/>
            <w:tcBorders>
              <w:top w:val="single" w:sz="8" w:color="CCEEFF"/>
              <w:bottom w:val="single" w:sz="8" w:color="494949"/>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494949"/>
            </w:tcBorders>
          </w:tcPr>
          <w:p>
            <w:pPr>
              <w:spacing w:after="0" w:line="20" w:lineRule="exact"/>
              <w:rPr>
                <w:sz w:val="1"/>
                <w:szCs w:val="1"/>
                <w:color w:val="auto"/>
              </w:rPr>
            </w:pPr>
          </w:p>
        </w:tc>
        <w:tc>
          <w:tcPr>
            <w:tcW w:w="1360" w:type="dxa"/>
            <w:vAlign w:val="bottom"/>
            <w:tcBorders>
              <w:top w:val="single" w:sz="8" w:color="CCEEFF"/>
              <w:bottom w:val="single" w:sz="8" w:color="494949"/>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494949"/>
            </w:tcBorders>
          </w:tcPr>
          <w:p>
            <w:pPr>
              <w:spacing w:after="0" w:line="20" w:lineRule="exact"/>
              <w:rPr>
                <w:sz w:val="1"/>
                <w:szCs w:val="1"/>
                <w:color w:val="auto"/>
              </w:rPr>
            </w:pPr>
          </w:p>
        </w:tc>
        <w:tc>
          <w:tcPr>
            <w:tcW w:w="1380" w:type="dxa"/>
            <w:vAlign w:val="bottom"/>
            <w:tcBorders>
              <w:top w:val="single" w:sz="8" w:color="CCEEFF"/>
              <w:bottom w:val="single" w:sz="8" w:color="494949"/>
            </w:tcBorders>
          </w:tcPr>
          <w:p>
            <w:pPr>
              <w:spacing w:after="0" w:line="20" w:lineRule="exact"/>
              <w:rPr>
                <w:sz w:val="1"/>
                <w:szCs w:val="1"/>
                <w:color w:val="auto"/>
              </w:rPr>
            </w:pPr>
          </w:p>
        </w:tc>
      </w:tr>
    </w:tbl>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Revenue by geographic area is determined based on the location where the guest stays and is as follows (in thousands):</w:t>
      </w:r>
    </w:p>
    <w:p>
      <w:pPr>
        <w:spacing w:after="0" w:line="281"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8"/>
        </w:trPr>
        <w:tc>
          <w:tcPr>
            <w:tcW w:w="57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2"/>
        </w:trPr>
        <w:tc>
          <w:tcPr>
            <w:tcW w:w="5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1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19"/>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120" w:type="dxa"/>
            <w:vAlign w:val="bottom"/>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370,825</w:t>
            </w:r>
          </w:p>
        </w:tc>
        <w:tc>
          <w:tcPr>
            <w:tcW w:w="80" w:type="dxa"/>
            <w:vAlign w:val="bottom"/>
          </w:tcPr>
          <w:p>
            <w:pPr>
              <w:spacing w:after="0"/>
              <w:rPr>
                <w:sz w:val="19"/>
                <w:szCs w:val="19"/>
                <w:color w:val="auto"/>
              </w:rPr>
            </w:pPr>
          </w:p>
        </w:tc>
        <w:tc>
          <w:tcPr>
            <w:tcW w:w="40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310,995</w:t>
            </w:r>
          </w:p>
        </w:tc>
        <w:tc>
          <w:tcPr>
            <w:tcW w:w="8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159,179</w:t>
            </w:r>
          </w:p>
        </w:tc>
      </w:tr>
      <w:tr>
        <w:trPr>
          <w:trHeight w:val="38"/>
        </w:trPr>
        <w:tc>
          <w:tcPr>
            <w:tcW w:w="5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7"/>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Americas</w:t>
            </w:r>
            <w:r>
              <w:rPr>
                <w:rFonts w:ascii="Times New Roman" w:cs="Times New Roman" w:eastAsia="Times New Roman" w:hAnsi="Times New Roman"/>
                <w:sz w:val="21"/>
                <w:szCs w:val="21"/>
                <w:color w:val="auto"/>
                <w:vertAlign w:val="superscript"/>
              </w:rPr>
              <w:t>(1)</w:t>
            </w:r>
          </w:p>
        </w:tc>
        <w:tc>
          <w:tcPr>
            <w:tcW w:w="1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60,161</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37,118</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10,729</w:t>
            </w:r>
          </w:p>
        </w:tc>
      </w:tr>
      <w:tr>
        <w:trPr>
          <w:trHeight w:val="212"/>
        </w:trPr>
        <w:tc>
          <w:tcPr>
            <w:tcW w:w="5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Americas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169,908</w:t>
            </w:r>
          </w:p>
        </w:tc>
      </w:tr>
      <w:tr>
        <w:trPr>
          <w:trHeight w:val="38"/>
        </w:trPr>
        <w:tc>
          <w:tcPr>
            <w:tcW w:w="5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and Middle East:</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19"/>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Great Britain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20,691</w:t>
            </w:r>
          </w:p>
        </w:tc>
      </w:tr>
      <w:tr>
        <w:trPr>
          <w:trHeight w:val="38"/>
        </w:trPr>
        <w:tc>
          <w:tcPr>
            <w:tcW w:w="5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7"/>
        </w:trPr>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United Arab Emirates</w:t>
            </w: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68,019</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31,380</w:t>
            </w:r>
          </w:p>
        </w:tc>
      </w:tr>
      <w:tr>
        <w:trPr>
          <w:trHeight w:val="219"/>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12,166</w:t>
            </w:r>
          </w:p>
        </w:tc>
      </w:tr>
      <w:tr>
        <w:trPr>
          <w:trHeight w:val="38"/>
        </w:trPr>
        <w:tc>
          <w:tcPr>
            <w:tcW w:w="57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9"/>
        </w:trPr>
        <w:tc>
          <w:tcPr>
            <w:tcW w:w="5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Europe and Middle East</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116,865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64,237</w:t>
            </w:r>
          </w:p>
        </w:tc>
      </w:tr>
      <w:tr>
        <w:trPr>
          <w:trHeight w:val="243"/>
        </w:trPr>
        <w:tc>
          <w:tcPr>
            <w:tcW w:w="5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1120" w:type="dxa"/>
            <w:vAlign w:val="bottom"/>
            <w:tcBorders>
              <w:top w:val="single" w:sz="8" w:color="494949"/>
              <w:bottom w:val="single" w:sz="8" w:color="494949"/>
            </w:tcBorders>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494949"/>
              <w:bottom w:val="single" w:sz="8" w:color="494949"/>
            </w:tcBorders>
          </w:tcPr>
          <w:p>
            <w:pPr>
              <w:jc w:val="right"/>
              <w:spacing w:after="0"/>
              <w:rPr>
                <w:sz w:val="20"/>
                <w:szCs w:val="20"/>
                <w:color w:val="auto"/>
              </w:rPr>
            </w:pPr>
            <w:r>
              <w:rPr>
                <w:rFonts w:ascii="Times New Roman" w:cs="Times New Roman" w:eastAsia="Times New Roman" w:hAnsi="Times New Roman"/>
                <w:sz w:val="16"/>
                <w:szCs w:val="16"/>
                <w:color w:val="auto"/>
              </w:rPr>
              <w:t>602,066</w:t>
            </w:r>
          </w:p>
        </w:tc>
        <w:tc>
          <w:tcPr>
            <w:tcW w:w="80" w:type="dxa"/>
            <w:vAlign w:val="bottom"/>
          </w:tcPr>
          <w:p>
            <w:pPr>
              <w:spacing w:after="0"/>
              <w:rPr>
                <w:sz w:val="21"/>
                <w:szCs w:val="21"/>
                <w:color w:val="auto"/>
              </w:rPr>
            </w:pPr>
          </w:p>
        </w:tc>
        <w:tc>
          <w:tcPr>
            <w:tcW w:w="400" w:type="dxa"/>
            <w:vAlign w:val="bottom"/>
            <w:tcBorders>
              <w:top w:val="single" w:sz="8" w:color="494949"/>
              <w:bottom w:val="single" w:sz="8" w:color="494949"/>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494949"/>
              <w:bottom w:val="single" w:sz="8" w:color="494949"/>
            </w:tcBorders>
          </w:tcPr>
          <w:p>
            <w:pPr>
              <w:jc w:val="right"/>
              <w:spacing w:after="0"/>
              <w:rPr>
                <w:sz w:val="20"/>
                <w:szCs w:val="20"/>
                <w:color w:val="auto"/>
              </w:rPr>
            </w:pPr>
            <w:r>
              <w:rPr>
                <w:rFonts w:ascii="Times New Roman" w:cs="Times New Roman" w:eastAsia="Times New Roman" w:hAnsi="Times New Roman"/>
                <w:sz w:val="16"/>
                <w:szCs w:val="16"/>
                <w:color w:val="auto"/>
              </w:rPr>
              <w:t>464,978</w:t>
            </w:r>
          </w:p>
        </w:tc>
        <w:tc>
          <w:tcPr>
            <w:tcW w:w="80" w:type="dxa"/>
            <w:vAlign w:val="bottom"/>
          </w:tcPr>
          <w:p>
            <w:pPr>
              <w:spacing w:after="0"/>
              <w:rPr>
                <w:sz w:val="21"/>
                <w:szCs w:val="21"/>
                <w:color w:val="auto"/>
              </w:rPr>
            </w:pPr>
          </w:p>
        </w:tc>
        <w:tc>
          <w:tcPr>
            <w:tcW w:w="420" w:type="dxa"/>
            <w:vAlign w:val="bottom"/>
            <w:tcBorders>
              <w:top w:val="single" w:sz="8" w:color="494949"/>
              <w:bottom w:val="single" w:sz="8" w:color="494949"/>
            </w:tcBorders>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494949"/>
              <w:bottom w:val="single" w:sz="8" w:color="494949"/>
            </w:tcBorders>
          </w:tcPr>
          <w:p>
            <w:pPr>
              <w:jc w:val="right"/>
              <w:spacing w:after="0"/>
              <w:rPr>
                <w:sz w:val="20"/>
                <w:szCs w:val="20"/>
                <w:color w:val="auto"/>
              </w:rPr>
            </w:pPr>
            <w:r>
              <w:rPr>
                <w:rFonts w:ascii="Times New Roman" w:cs="Times New Roman" w:eastAsia="Times New Roman" w:hAnsi="Times New Roman"/>
                <w:sz w:val="16"/>
                <w:szCs w:val="16"/>
                <w:color w:val="auto"/>
              </w:rPr>
              <w:t>234,145</w:t>
            </w:r>
          </w:p>
        </w:tc>
      </w:tr>
      <w:tr>
        <w:trPr>
          <w:trHeight w:val="23"/>
        </w:trPr>
        <w:tc>
          <w:tcPr>
            <w:tcW w:w="5780" w:type="dxa"/>
            <w:vAlign w:val="bottom"/>
          </w:tcPr>
          <w:p>
            <w:pPr>
              <w:spacing w:after="0"/>
              <w:rPr>
                <w:sz w:val="2"/>
                <w:szCs w:val="2"/>
                <w:color w:val="auto"/>
              </w:rPr>
            </w:pPr>
          </w:p>
        </w:tc>
        <w:tc>
          <w:tcPr>
            <w:tcW w:w="1120" w:type="dxa"/>
            <w:vAlign w:val="bottom"/>
            <w:tcBorders>
              <w:bottom w:val="single" w:sz="8" w:color="494949"/>
            </w:tcBorders>
          </w:tcPr>
          <w:p>
            <w:pPr>
              <w:spacing w:after="0"/>
              <w:rPr>
                <w:sz w:val="2"/>
                <w:szCs w:val="2"/>
                <w:color w:val="auto"/>
              </w:rPr>
            </w:pPr>
          </w:p>
        </w:tc>
        <w:tc>
          <w:tcPr>
            <w:tcW w:w="660" w:type="dxa"/>
            <w:vAlign w:val="bottom"/>
            <w:tcBorders>
              <w:bottom w:val="single" w:sz="8" w:color="494949"/>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494949"/>
            </w:tcBorders>
          </w:tcPr>
          <w:p>
            <w:pPr>
              <w:spacing w:after="0"/>
              <w:rPr>
                <w:sz w:val="2"/>
                <w:szCs w:val="2"/>
                <w:color w:val="auto"/>
              </w:rPr>
            </w:pPr>
          </w:p>
        </w:tc>
        <w:tc>
          <w:tcPr>
            <w:tcW w:w="1360" w:type="dxa"/>
            <w:vAlign w:val="bottom"/>
            <w:tcBorders>
              <w:bottom w:val="single" w:sz="8" w:color="494949"/>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494949"/>
            </w:tcBorders>
          </w:tcPr>
          <w:p>
            <w:pPr>
              <w:spacing w:after="0"/>
              <w:rPr>
                <w:sz w:val="2"/>
                <w:szCs w:val="2"/>
                <w:color w:val="auto"/>
              </w:rPr>
            </w:pPr>
          </w:p>
        </w:tc>
        <w:tc>
          <w:tcPr>
            <w:tcW w:w="1360" w:type="dxa"/>
            <w:vAlign w:val="bottom"/>
            <w:tcBorders>
              <w:bottom w:val="single" w:sz="8" w:color="494949"/>
            </w:tcBorders>
          </w:tcPr>
          <w:p>
            <w:pPr>
              <w:spacing w:after="0"/>
              <w:rPr>
                <w:sz w:val="2"/>
                <w:szCs w:val="2"/>
                <w:color w:val="auto"/>
              </w:rPr>
            </w:pPr>
          </w:p>
        </w:tc>
      </w:tr>
    </w:tbl>
    <w:p>
      <w:pPr>
        <w:spacing w:after="0" w:line="266" w:lineRule="exact"/>
        <w:rPr>
          <w:sz w:val="20"/>
          <w:szCs w:val="20"/>
          <w:color w:val="auto"/>
        </w:rPr>
      </w:pPr>
    </w:p>
    <w:p>
      <w:pPr>
        <w:ind w:left="142" w:hanging="142"/>
        <w:spacing w:after="0"/>
        <w:tabs>
          <w:tab w:leader="none" w:pos="142" w:val="left"/>
        </w:tabs>
        <w:numPr>
          <w:ilvl w:val="0"/>
          <w:numId w:val="3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December 31, 2023, 2022, and 2021, Other Americas is comprised of Canada and Mexico.</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 individual guest represented over 10% of revenues for the years ended December 31, 2023, 2022, and 2021.</w:t>
      </w:r>
    </w:p>
    <w:p>
      <w:pPr>
        <w:spacing w:after="0" w:line="232"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Three OTAs each represented approximately 23%, 14% and 12% of the Company’s revenue for the year ended December 31, 2023; two OTAs each represented approximately 20% of the Company’s revenue for the year ended December 31, 2022; and two OTAs each represented approximately 33% and 12% of the Company’s revenue for the year ended December 31, 2021.</w:t>
      </w:r>
    </w:p>
    <w:p>
      <w:pPr>
        <w:spacing w:after="0" w:line="180" w:lineRule="exact"/>
        <w:rPr>
          <w:sz w:val="20"/>
          <w:szCs w:val="20"/>
          <w:color w:val="auto"/>
        </w:rPr>
      </w:pPr>
    </w:p>
    <w:p>
      <w:pPr>
        <w:jc w:val="both"/>
        <w:ind w:left="2" w:right="20"/>
        <w:spacing w:after="0" w:line="265" w:lineRule="auto"/>
        <w:rPr>
          <w:sz w:val="20"/>
          <w:szCs w:val="20"/>
          <w:color w:val="auto"/>
        </w:rPr>
      </w:pPr>
      <w:r>
        <w:rPr>
          <w:rFonts w:ascii="Times New Roman" w:cs="Times New Roman" w:eastAsia="Times New Roman" w:hAnsi="Times New Roman"/>
          <w:sz w:val="16"/>
          <w:szCs w:val="16"/>
          <w:color w:val="auto"/>
        </w:rPr>
        <w:t>One OTA represented approximately 17% of the gross accounts receivable balance at December 31, 2023 and four OTAs each represented approximately 24%, 18%, 17%, and 12% of the gross accounts receivable balance at December 31, 2022.</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summarizes the activity in the Company's allowance for expected credit losses balance (in thousands):</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7580" w:type="dxa"/>
            <w:vAlign w:val="bottom"/>
          </w:tcPr>
          <w:p>
            <w:pPr>
              <w:spacing w:after="0"/>
              <w:rPr>
                <w:sz w:val="18"/>
                <w:szCs w:val="18"/>
                <w:color w:val="auto"/>
              </w:rPr>
            </w:pPr>
          </w:p>
        </w:tc>
        <w:tc>
          <w:tcPr>
            <w:tcW w:w="3040" w:type="dxa"/>
            <w:vAlign w:val="bottom"/>
            <w:gridSpan w:val="4"/>
          </w:tcPr>
          <w:p>
            <w:pPr>
              <w:jc w:val="right"/>
              <w:ind w:right="278"/>
              <w:spacing w:after="0"/>
              <w:rPr>
                <w:sz w:val="20"/>
                <w:szCs w:val="20"/>
                <w:color w:val="auto"/>
              </w:rPr>
            </w:pPr>
            <w:r>
              <w:rPr>
                <w:rFonts w:ascii="Times New Roman" w:cs="Times New Roman" w:eastAsia="Times New Roman" w:hAnsi="Times New Roman"/>
                <w:sz w:val="16"/>
                <w:szCs w:val="16"/>
                <w:color w:val="auto"/>
              </w:rPr>
              <w:t>Year ended December 31,</w:t>
            </w:r>
          </w:p>
        </w:tc>
        <w:tc>
          <w:tcPr>
            <w:tcW w:w="600" w:type="dxa"/>
            <w:vAlign w:val="bottom"/>
          </w:tcPr>
          <w:p>
            <w:pPr>
              <w:spacing w:after="0"/>
              <w:rPr>
                <w:sz w:val="18"/>
                <w:szCs w:val="18"/>
                <w:color w:val="auto"/>
              </w:rPr>
            </w:pPr>
          </w:p>
        </w:tc>
      </w:tr>
      <w:tr>
        <w:trPr>
          <w:trHeight w:val="38"/>
        </w:trPr>
        <w:tc>
          <w:tcPr>
            <w:tcW w:w="75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12"/>
        </w:trPr>
        <w:tc>
          <w:tcPr>
            <w:tcW w:w="758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2023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2022</w:t>
            </w:r>
          </w:p>
        </w:tc>
        <w:tc>
          <w:tcPr>
            <w:tcW w:w="600" w:type="dxa"/>
            <w:vAlign w:val="bottom"/>
          </w:tcPr>
          <w:p>
            <w:pPr>
              <w:spacing w:after="0"/>
              <w:rPr>
                <w:sz w:val="18"/>
                <w:szCs w:val="18"/>
                <w:color w:val="auto"/>
              </w:rPr>
            </w:pPr>
          </w:p>
        </w:tc>
      </w:tr>
      <w:tr>
        <w:trPr>
          <w:trHeight w:val="38"/>
        </w:trPr>
        <w:tc>
          <w:tcPr>
            <w:tcW w:w="75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w:t>
            </w:r>
          </w:p>
        </w:tc>
      </w:tr>
      <w:tr>
        <w:trPr>
          <w:trHeight w:val="219"/>
        </w:trPr>
        <w:tc>
          <w:tcPr>
            <w:tcW w:w="7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38"/>
        </w:trPr>
        <w:tc>
          <w:tcPr>
            <w:tcW w:w="7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57"/>
        </w:trPr>
        <w:tc>
          <w:tcPr>
            <w:tcW w:w="7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Write-offs, net of recoveries</w:t>
            </w: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80" w:type="dxa"/>
            <w:vAlign w:val="bottom"/>
            <w:tcBorders>
              <w:top w:val="single" w:sz="8" w:color="6D6D6D"/>
              <w:bottom w:val="single" w:sz="8" w:color="6D6D6D"/>
            </w:tcBorders>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00" w:type="dxa"/>
            <w:vAlign w:val="bottom"/>
          </w:tcPr>
          <w:p>
            <w:pPr>
              <w:spacing w:after="0"/>
              <w:rPr>
                <w:sz w:val="21"/>
                <w:szCs w:val="21"/>
                <w:color w:val="auto"/>
              </w:rPr>
            </w:pPr>
          </w:p>
        </w:tc>
        <w:tc>
          <w:tcPr>
            <w:tcW w:w="1160" w:type="dxa"/>
            <w:vAlign w:val="bottom"/>
            <w:tcBorders>
              <w:top w:val="single" w:sz="8" w:color="6D6D6D"/>
              <w:bottom w:val="single" w:sz="8" w:color="6D6D6D"/>
            </w:tcBorders>
          </w:tcPr>
          <w:p>
            <w:pPr>
              <w:jc w:val="right"/>
              <w:ind w:right="99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3"/>
        </w:trPr>
        <w:tc>
          <w:tcPr>
            <w:tcW w:w="7580" w:type="dxa"/>
            <w:vAlign w:val="bottom"/>
          </w:tcPr>
          <w:p>
            <w:pPr>
              <w:spacing w:after="0"/>
              <w:rPr>
                <w:sz w:val="2"/>
                <w:szCs w:val="2"/>
                <w:color w:val="auto"/>
              </w:rPr>
            </w:pPr>
          </w:p>
        </w:tc>
        <w:tc>
          <w:tcPr>
            <w:tcW w:w="1180" w:type="dxa"/>
            <w:vAlign w:val="bottom"/>
            <w:tcBorders>
              <w:bottom w:val="single" w:sz="8" w:color="6D6D6D"/>
            </w:tcBorders>
          </w:tcPr>
          <w:p>
            <w:pPr>
              <w:spacing w:after="0"/>
              <w:rPr>
                <w:sz w:val="2"/>
                <w:szCs w:val="2"/>
                <w:color w:val="auto"/>
              </w:rPr>
            </w:pPr>
          </w:p>
        </w:tc>
        <w:tc>
          <w:tcPr>
            <w:tcW w:w="60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6D6D6D"/>
            </w:tcBorders>
          </w:tcPr>
          <w:p>
            <w:pPr>
              <w:spacing w:after="0"/>
              <w:rPr>
                <w:sz w:val="2"/>
                <w:szCs w:val="2"/>
                <w:color w:val="auto"/>
              </w:rPr>
            </w:pPr>
          </w:p>
        </w:tc>
        <w:tc>
          <w:tcPr>
            <w:tcW w:w="600" w:type="dxa"/>
            <w:vAlign w:val="bottom"/>
            <w:tcBorders>
              <w:bottom w:val="single" w:sz="8" w:color="6D6D6D"/>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27" w:name="page128"/>
    <w:bookmarkEnd w:id="127"/>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62"/>
          </w:cols>
          <w:pgMar w:left="318" w:top="123" w:right="3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5. Balance Sheet Details</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Other current assets</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Other current assets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508000</wp:posOffset>
            </wp:positionV>
            <wp:extent cx="7145020" cy="170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Non-income-related tax assets</w:t>
      </w:r>
    </w:p>
    <w:p>
      <w:pPr>
        <w:spacing w:after="0" w:line="8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Deposits due from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0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5020" cy="163195"/>
                    </a:xfrm>
                    <a:prstGeom prst="rect">
                      <a:avLst/>
                    </a:prstGeom>
                    <a:noFill/>
                  </pic:spPr>
                </pic:pic>
              </a:graphicData>
            </a:graphic>
          </wp:anchor>
        </w:drawing>
      </w:r>
    </w:p>
    <w:p>
      <w:pPr>
        <w:spacing w:after="0" w:line="53"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110"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color w:val="auto"/>
        </w:rPr>
        <w:t>Total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233997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39975" cy="762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2"/>
        </w:trPr>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10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57"/>
        </w:trPr>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57"/>
        </w:trPr>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r>
      <w:tr>
        <w:trPr>
          <w:trHeight w:val="38"/>
        </w:trPr>
        <w:tc>
          <w:tcPr>
            <w:tcW w:w="42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400" w:type="dxa"/>
            <w:vAlign w:val="bottom"/>
            <w:tcBorders>
              <w:bottom w:val="single" w:sz="8" w:color="6D6D6D"/>
            </w:tcBorders>
          </w:tcPr>
          <w:p>
            <w:pPr>
              <w:spacing w:after="0"/>
              <w:rPr>
                <w:sz w:val="3"/>
                <w:szCs w:val="3"/>
                <w:color w:val="auto"/>
              </w:rPr>
            </w:pPr>
          </w:p>
        </w:tc>
      </w:tr>
      <w:tr>
        <w:trPr>
          <w:trHeight w:val="212"/>
        </w:trPr>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10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r>
      <w:tr>
        <w:trPr>
          <w:trHeight w:val="38"/>
        </w:trPr>
        <w:tc>
          <w:tcPr>
            <w:tcW w:w="42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400" w:type="dxa"/>
            <w:vAlign w:val="bottom"/>
            <w:tcBorders>
              <w:bottom w:val="single" w:sz="8" w:color="6D6D6D"/>
            </w:tcBorders>
          </w:tcPr>
          <w:p>
            <w:pPr>
              <w:spacing w:after="0"/>
              <w:rPr>
                <w:sz w:val="3"/>
                <w:szCs w:val="3"/>
                <w:color w:val="auto"/>
              </w:rPr>
            </w:pPr>
          </w:p>
        </w:tc>
      </w:tr>
      <w:tr>
        <w:trPr>
          <w:trHeight w:val="20"/>
        </w:trPr>
        <w:tc>
          <w:tcPr>
            <w:tcW w:w="42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6D6D6D"/>
            </w:tcBorders>
          </w:tcPr>
          <w:p>
            <w:pPr>
              <w:spacing w:after="0" w:line="20" w:lineRule="exact"/>
              <w:rPr>
                <w:sz w:val="1"/>
                <w:szCs w:val="1"/>
                <w:color w:val="auto"/>
              </w:rPr>
            </w:pPr>
          </w:p>
        </w:tc>
        <w:tc>
          <w:tcPr>
            <w:tcW w:w="1400" w:type="dxa"/>
            <w:vAlign w:val="bottom"/>
            <w:tcBorders>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2" w:space="720"/>
            <w:col w:w="3700"/>
          </w:cols>
          <w:pgMar w:left="318" w:top="123" w:right="319" w:bottom="1440" w:gutter="0" w:footer="0" w:header="0"/>
          <w:type w:val="continuous"/>
        </w:sectPr>
      </w:pPr>
    </w:p>
    <w:p>
      <w:pPr>
        <w:spacing w:after="0" w:line="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Other non-current assets</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Other non-current assets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145020" cy="170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020" cy="1708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Long-term deposits due from landlords</w:t>
      </w:r>
    </w:p>
    <w:p>
      <w:pPr>
        <w:spacing w:after="0" w:line="8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02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5020" cy="163195"/>
                    </a:xfrm>
                    <a:prstGeom prst="rect">
                      <a:avLst/>
                    </a:prstGeom>
                    <a:noFill/>
                  </pic:spPr>
                </pic:pic>
              </a:graphicData>
            </a:graphic>
          </wp:anchor>
        </w:drawing>
      </w:r>
    </w:p>
    <w:p>
      <w:pPr>
        <w:spacing w:after="0" w:line="53"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Debt issuance costs on undrawn credit facilities</w:t>
      </w:r>
    </w:p>
    <w:p>
      <w:pPr>
        <w:spacing w:after="0" w:line="73"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45020" cy="186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5020" cy="186690"/>
                    </a:xfrm>
                    <a:prstGeom prst="rect">
                      <a:avLst/>
                    </a:prstGeom>
                    <a:noFill/>
                  </pic:spPr>
                </pic:pic>
              </a:graphicData>
            </a:graphic>
          </wp:anchor>
        </w:drawing>
      </w:r>
    </w:p>
    <w:p>
      <w:pPr>
        <w:spacing w:after="0" w:line="90" w:lineRule="exact"/>
        <w:rPr>
          <w:sz w:val="20"/>
          <w:szCs w:val="20"/>
          <w:color w:val="auto"/>
        </w:rPr>
      </w:pPr>
    </w:p>
    <w:p>
      <w:pPr>
        <w:ind w:left="222"/>
        <w:spacing w:after="0"/>
        <w:rPr>
          <w:sz w:val="20"/>
          <w:szCs w:val="20"/>
          <w:color w:val="auto"/>
        </w:rPr>
      </w:pPr>
      <w:r>
        <w:rPr>
          <w:rFonts w:ascii="Times New Roman" w:cs="Times New Roman" w:eastAsia="Times New Roman" w:hAnsi="Times New Roman"/>
          <w:sz w:val="16"/>
          <w:szCs w:val="16"/>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233997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39975" cy="762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2"/>
        </w:trPr>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w:t>
            </w:r>
          </w:p>
        </w:tc>
        <w:tc>
          <w:tcPr>
            <w:tcW w:w="10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14,672</w:t>
            </w:r>
          </w:p>
        </w:tc>
      </w:tr>
      <w:tr>
        <w:trPr>
          <w:trHeight w:val="257"/>
        </w:trPr>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57"/>
        </w:trPr>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38"/>
        </w:trPr>
        <w:tc>
          <w:tcPr>
            <w:tcW w:w="42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400" w:type="dxa"/>
            <w:vAlign w:val="bottom"/>
            <w:tcBorders>
              <w:bottom w:val="single" w:sz="8" w:color="6D6D6D"/>
            </w:tcBorders>
          </w:tcPr>
          <w:p>
            <w:pPr>
              <w:spacing w:after="0"/>
              <w:rPr>
                <w:sz w:val="3"/>
                <w:szCs w:val="3"/>
                <w:color w:val="auto"/>
              </w:rPr>
            </w:pPr>
          </w:p>
        </w:tc>
      </w:tr>
      <w:tr>
        <w:trPr>
          <w:trHeight w:val="212"/>
        </w:trPr>
        <w:tc>
          <w:tcPr>
            <w:tcW w:w="42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100" w:type="dxa"/>
            <w:vAlign w:val="bottom"/>
          </w:tcPr>
          <w:p>
            <w:pPr>
              <w:spacing w:after="0"/>
              <w:rPr>
                <w:sz w:val="18"/>
                <w:szCs w:val="18"/>
                <w:color w:val="auto"/>
              </w:rPr>
            </w:pP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15,525</w:t>
            </w:r>
          </w:p>
        </w:tc>
      </w:tr>
      <w:tr>
        <w:trPr>
          <w:trHeight w:val="38"/>
        </w:trPr>
        <w:tc>
          <w:tcPr>
            <w:tcW w:w="42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400" w:type="dxa"/>
            <w:vAlign w:val="bottom"/>
            <w:tcBorders>
              <w:bottom w:val="single" w:sz="8" w:color="6D6D6D"/>
            </w:tcBorders>
          </w:tcPr>
          <w:p>
            <w:pPr>
              <w:spacing w:after="0"/>
              <w:rPr>
                <w:sz w:val="3"/>
                <w:szCs w:val="3"/>
                <w:color w:val="auto"/>
              </w:rPr>
            </w:pPr>
          </w:p>
        </w:tc>
      </w:tr>
      <w:tr>
        <w:trPr>
          <w:trHeight w:val="20"/>
        </w:trPr>
        <w:tc>
          <w:tcPr>
            <w:tcW w:w="42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6D6D6D"/>
            </w:tcBorders>
          </w:tcPr>
          <w:p>
            <w:pPr>
              <w:spacing w:after="0" w:line="20" w:lineRule="exact"/>
              <w:rPr>
                <w:sz w:val="1"/>
                <w:szCs w:val="1"/>
                <w:color w:val="auto"/>
              </w:rPr>
            </w:pPr>
          </w:p>
        </w:tc>
        <w:tc>
          <w:tcPr>
            <w:tcW w:w="1400" w:type="dxa"/>
            <w:vAlign w:val="bottom"/>
            <w:tcBorders>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2" w:space="720"/>
            <w:col w:w="3700"/>
          </w:cols>
          <w:pgMar w:left="318" w:top="123" w:right="319" w:bottom="1440" w:gutter="0" w:footer="0" w:header="0"/>
          <w:type w:val="continuous"/>
        </w:sectPr>
      </w:pP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75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Accrued liabilities</w:t>
            </w: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 consists of the following (in thousands):</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5"/>
        </w:trPr>
        <w:tc>
          <w:tcPr>
            <w:tcW w:w="7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December 31,</w:t>
            </w:r>
          </w:p>
        </w:tc>
        <w:tc>
          <w:tcPr>
            <w:tcW w:w="1240" w:type="dxa"/>
            <w:vAlign w:val="bottom"/>
          </w:tcPr>
          <w:p>
            <w:pPr>
              <w:spacing w:after="0"/>
              <w:rPr>
                <w:sz w:val="21"/>
                <w:szCs w:val="21"/>
                <w:color w:val="auto"/>
              </w:rPr>
            </w:pPr>
          </w:p>
        </w:tc>
      </w:tr>
      <w:tr>
        <w:trPr>
          <w:trHeight w:val="38"/>
        </w:trPr>
        <w:tc>
          <w:tcPr>
            <w:tcW w:w="75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2"/>
        </w:trPr>
        <w:tc>
          <w:tcPr>
            <w:tcW w:w="756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75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9"/>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legal expenses</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w:t>
            </w:r>
          </w:p>
        </w:tc>
      </w:tr>
      <w:tr>
        <w:trPr>
          <w:trHeight w:val="38"/>
        </w:trPr>
        <w:tc>
          <w:tcPr>
            <w:tcW w:w="7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Accrued direct costs </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FF&amp;E allowances</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13,299</w:t>
            </w:r>
          </w:p>
        </w:tc>
      </w:tr>
      <w:tr>
        <w:trPr>
          <w:trHeight w:val="38"/>
        </w:trPr>
        <w:tc>
          <w:tcPr>
            <w:tcW w:w="7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1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r>
      <w:tr>
        <w:trPr>
          <w:trHeight w:val="24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180" w:type="dxa"/>
            <w:vAlign w:val="bottom"/>
            <w:tcBorders>
              <w:top w:val="single" w:sz="8" w:color="6D6D6D"/>
              <w:bottom w:val="single" w:sz="8" w:color="6D6D6D"/>
            </w:tcBorders>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38,626</w:t>
            </w:r>
          </w:p>
        </w:tc>
        <w:tc>
          <w:tcPr>
            <w:tcW w:w="100" w:type="dxa"/>
            <w:vAlign w:val="bottom"/>
          </w:tcPr>
          <w:p>
            <w:pPr>
              <w:spacing w:after="0"/>
              <w:rPr>
                <w:sz w:val="21"/>
                <w:szCs w:val="21"/>
                <w:color w:val="auto"/>
              </w:rPr>
            </w:pPr>
          </w:p>
        </w:tc>
        <w:tc>
          <w:tcPr>
            <w:tcW w:w="560" w:type="dxa"/>
            <w:vAlign w:val="bottom"/>
            <w:tcBorders>
              <w:top w:val="single" w:sz="8" w:color="6D6D6D"/>
              <w:bottom w:val="single" w:sz="8" w:color="6D6D6D"/>
            </w:tcBorders>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33,896</w:t>
            </w:r>
          </w:p>
        </w:tc>
      </w:tr>
      <w:tr>
        <w:trPr>
          <w:trHeight w:val="23"/>
        </w:trPr>
        <w:tc>
          <w:tcPr>
            <w:tcW w:w="7560" w:type="dxa"/>
            <w:vAlign w:val="bottom"/>
          </w:tcPr>
          <w:p>
            <w:pPr>
              <w:spacing w:after="0"/>
              <w:rPr>
                <w:sz w:val="2"/>
                <w:szCs w:val="2"/>
                <w:color w:val="auto"/>
              </w:rPr>
            </w:pPr>
          </w:p>
        </w:tc>
        <w:tc>
          <w:tcPr>
            <w:tcW w:w="1180" w:type="dxa"/>
            <w:vAlign w:val="bottom"/>
            <w:tcBorders>
              <w:bottom w:val="single" w:sz="8" w:color="6D6D6D"/>
            </w:tcBorders>
          </w:tcPr>
          <w:p>
            <w:pPr>
              <w:spacing w:after="0"/>
              <w:rPr>
                <w:sz w:val="2"/>
                <w:szCs w:val="2"/>
                <w:color w:val="auto"/>
              </w:rPr>
            </w:pPr>
          </w:p>
        </w:tc>
        <w:tc>
          <w:tcPr>
            <w:tcW w:w="62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r>
    </w:tbl>
    <w:p>
      <w:pPr>
        <w:spacing w:after="0" w:line="278" w:lineRule="exact"/>
        <w:rPr>
          <w:sz w:val="20"/>
          <w:szCs w:val="20"/>
          <w:color w:val="auto"/>
        </w:rPr>
      </w:pPr>
    </w:p>
    <w:p>
      <w:pPr>
        <w:ind w:left="142" w:hanging="142"/>
        <w:spacing w:after="0"/>
        <w:tabs>
          <w:tab w:leader="none" w:pos="142"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Direct costs include utilities, maintenance, insurance, cleaning, and other expenses related to the Company’s properties</w:t>
      </w:r>
      <w:r>
        <w:rPr>
          <w:rFonts w:ascii="Times New Roman" w:cs="Times New Roman" w:eastAsia="Times New Roman" w:hAnsi="Times New Roman"/>
          <w:sz w:val="12"/>
          <w:szCs w:val="12"/>
          <w:color w:val="auto"/>
        </w:rPr>
        <w:t>.</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47" w:lineRule="exact"/>
        <w:rPr>
          <w:rFonts w:ascii="Times New Roman" w:cs="Times New Roman" w:eastAsia="Times New Roman" w:hAnsi="Times New Roman"/>
          <w:sz w:val="18"/>
          <w:szCs w:val="18"/>
          <w:color w:val="auto"/>
          <w:vertAlign w:val="superscript"/>
        </w:rPr>
      </w:pPr>
    </w:p>
    <w:p>
      <w:pPr>
        <w:ind w:left="5502"/>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Fair Value Measurement and Financial Instruments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Hierarchy</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Level 1</w:t>
      </w:r>
      <w:r>
        <w:rPr>
          <w:rFonts w:ascii="Times New Roman" w:cs="Times New Roman" w:eastAsia="Times New Roman" w:hAnsi="Times New Roman"/>
          <w:sz w:val="16"/>
          <w:szCs w:val="16"/>
          <w:color w:val="auto"/>
          <w:highlight w:val="white"/>
        </w:rPr>
        <w:t>: Quoted prices in active markets. These are typically obtained from real-time quotes for transactions in active exchange markets involving identical assets.</w:t>
      </w:r>
    </w:p>
    <w:p>
      <w:pPr>
        <w:spacing w:after="0" w:line="232" w:lineRule="exact"/>
        <w:rPr>
          <w:sz w:val="20"/>
          <w:szCs w:val="20"/>
          <w:color w:val="auto"/>
        </w:rPr>
      </w:pPr>
    </w:p>
    <w:p>
      <w:pPr>
        <w:ind w:left="1180" w:hanging="587"/>
        <w:spacing w:after="0" w:line="291" w:lineRule="auto"/>
        <w:rPr>
          <w:sz w:val="20"/>
          <w:szCs w:val="20"/>
          <w:color w:val="auto"/>
        </w:rPr>
      </w:pPr>
      <w:r>
        <w:rPr>
          <w:rFonts w:ascii="Times New Roman" w:cs="Times New Roman" w:eastAsia="Times New Roman" w:hAnsi="Times New Roman"/>
          <w:sz w:val="16"/>
          <w:szCs w:val="16"/>
          <w:u w:val="single" w:color="auto"/>
          <w:color w:val="auto"/>
        </w:rPr>
        <w:t>Level 2</w:t>
      </w:r>
      <w:r>
        <w:rPr>
          <w:rFonts w:ascii="Times New Roman" w:cs="Times New Roman" w:eastAsia="Times New Roman" w:hAnsi="Times New Roman"/>
          <w:sz w:val="16"/>
          <w:szCs w:val="16"/>
          <w:color w:val="auto"/>
        </w:rPr>
        <w:t>: Quoted prices for similar instruments in active markets; quoted prices for identical or similar instruments in markets that are not active; and model-derived valuations in which all significant inputs are observable in active markets.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Level 3</w:t>
      </w:r>
      <w:r>
        <w:rPr>
          <w:rFonts w:ascii="Times New Roman" w:cs="Times New Roman" w:eastAsia="Times New Roman" w:hAnsi="Times New Roman"/>
          <w:sz w:val="16"/>
          <w:szCs w:val="16"/>
          <w:color w:val="auto"/>
        </w:rPr>
        <w:t>: Valuations derived from valuation techniques in which one or more significant inputs are unobservable.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financial instrument’s classification within the fair value hierarchy is based on the lowest level of any input that is significant to the fair value measurement.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SPAC Warrants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part of the GMII initial public offering (“GMII IPO”), GMII issued 9,000,000 public warrants (the “Public Warrants”) and 5,500,000 private placement warrants (the “Private Placement Warrants”), of which every 20 warrants are exercisable for one share of common stock at a price of $230.00 per common share (collectively, the “SPAC Warrants”).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Management has determined that the SPAC Warrants issued in the GMII IPO, which remained outstanding at consummation of the Business Combination and became exercisable for shares of the Company’s common stock, are subject to accounting treatment as a liability. At the consummation of the Business Combination and at December 31, 2023, the Company used the Public Warrants stock price to value the Public Warrants.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At consummation of the Business Combination, the Company used a Monte Carlo simulation methodology to value the Private Placement Warrants using Level 3 inputs, as the Company did not have observable inputs for the valuation. At December 31, 2022, the Company used the Black-Scholes option-pricing model to estimate the fair value of 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December 31, 2023 and December 31, 2022 the Company used the Public Warrants stock price to value all SPAC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the SPAC Warrants were valued at $0.02 per warrant.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Refer to Note 10, </w:t>
      </w:r>
      <w:r>
        <w:rPr>
          <w:rFonts w:ascii="Times New Roman" w:cs="Times New Roman" w:eastAsia="Times New Roman" w:hAnsi="Times New Roman"/>
          <w:sz w:val="16"/>
          <w:szCs w:val="16"/>
          <w:i w:val="1"/>
          <w:iCs w:val="1"/>
          <w:color w:val="auto"/>
        </w:rPr>
        <w:t>Warrants and Stockholders' Deficit</w:t>
      </w:r>
      <w:r>
        <w:rPr>
          <w:rFonts w:ascii="Times New Roman" w:cs="Times New Roman" w:eastAsia="Times New Roman" w:hAnsi="Times New Roman"/>
          <w:sz w:val="16"/>
          <w:szCs w:val="16"/>
          <w:color w:val="auto"/>
        </w:rPr>
        <w:t>, for additional information about the SPAC Warrants.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 Out Liability</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addition to the consideration paid at consummation of the Business Combination, certain investors may receive their pro rata share of up to an aggregate of 725,000 additional shares of the Company’s common stock as consideration upon the common stock achieving certain benchmark share prices, as set forth in the merger agreement (the “Earn Out”). Management has determined that the Earn Out is subject to treatment as a liability (the “Earn Out Liability”).</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At December 31, 2023, the Company used a Monte Carlo simulation methodology to value the Earn Out Liability using Level 3 inputs. The key assumptions used in the Monte Carlo simulation are related to expected share-price volatility of 80.0%, expected term of 3.54 years, risk-free interest rate of 4.0%, and dividend yield of 0%. The expected volatility at December 31, 2023 was derived from the volatility of comparable public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Delayed Draw Warrants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 xml:space="preserve">The fair value of the Delayed Draw Warrants (as defined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was estimated by separating the Delayed Draw Notes (as defined in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into the debt and warrants components and assigning a fair value to each component. The value assigned to the debt component was the estimated 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warrants component was recorded as a debt discount, which is amortized using the effective interest method over the period from the date of issuance through the maturity date. Upon consummation of the Business Combination, the fair value of the Delayed Draw Warrants was $5.6 million and was included in additional paid in capital in the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Recurring Fair Value Measurements</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At December 31, 2023, the Earn Out Liability and Public Warrants liability were included in other non-current liabilities in the consolidated balance sheets. The following table presents fair value information for liabilities measured at fair value on a recurring basis as of December 31, 2023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Level 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Level 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Level 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Total</w:t>
            </w:r>
          </w:p>
        </w:tc>
      </w:tr>
      <w:tr>
        <w:trPr>
          <w:trHeight w:val="38"/>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 Out Liability</w:t>
            </w:r>
          </w:p>
        </w:tc>
        <w:tc>
          <w:tcPr>
            <w:tcW w:w="1260" w:type="dxa"/>
            <w:vAlign w:val="bottom"/>
            <w:tcBorders>
              <w:bottom w:val="single" w:sz="8" w:color="CCEEFF"/>
            </w:tcBorders>
            <w:shd w:val="clear" w:color="auto" w:fill="CCEEFF"/>
          </w:tcPr>
          <w:p>
            <w:pPr>
              <w:jc w:val="right"/>
              <w:ind w:right="107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38"/>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4"/>
        </w:trPr>
        <w:tc>
          <w:tcPr>
            <w:tcW w:w="4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1260" w:type="dxa"/>
            <w:vAlign w:val="bottom"/>
            <w:tcBorders>
              <w:bottom w:val="single" w:sz="8" w:color="CCEEFF"/>
            </w:tcBorders>
            <w:shd w:val="clear" w:color="auto" w:fill="CCEEFF"/>
          </w:tcPr>
          <w:p>
            <w:pPr>
              <w:jc w:val="right"/>
              <w:ind w:right="1078"/>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At December 31, 2022, the Earn Out Liability and Public Warrants liability were included in other non-current liabilities in the consolidated balance sheets. The following table presents fair value information for liabilities measured at fair value on a recurring basis as of December 31, 2022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Level 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Level 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8"/>
              <w:spacing w:after="0"/>
              <w:rPr>
                <w:sz w:val="20"/>
                <w:szCs w:val="20"/>
                <w:color w:val="auto"/>
              </w:rPr>
            </w:pPr>
            <w:r>
              <w:rPr>
                <w:rFonts w:ascii="Times New Roman" w:cs="Times New Roman" w:eastAsia="Times New Roman" w:hAnsi="Times New Roman"/>
                <w:sz w:val="16"/>
                <w:szCs w:val="16"/>
                <w:color w:val="auto"/>
              </w:rPr>
              <w:t>Total</w:t>
            </w:r>
          </w:p>
        </w:tc>
      </w:tr>
      <w:tr>
        <w:trPr>
          <w:trHeight w:val="38"/>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 Out Liability</w:t>
            </w:r>
          </w:p>
        </w:tc>
        <w:tc>
          <w:tcPr>
            <w:tcW w:w="1260" w:type="dxa"/>
            <w:vAlign w:val="bottom"/>
            <w:tcBorders>
              <w:bottom w:val="single" w:sz="8" w:color="CCEEFF"/>
            </w:tcBorders>
            <w:shd w:val="clear" w:color="auto" w:fill="CCEEFF"/>
          </w:tcPr>
          <w:p>
            <w:pPr>
              <w:jc w:val="right"/>
              <w:ind w:right="107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9"/>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38"/>
        </w:trPr>
        <w:tc>
          <w:tcPr>
            <w:tcW w:w="41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4"/>
        </w:trPr>
        <w:tc>
          <w:tcPr>
            <w:tcW w:w="4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1260" w:type="dxa"/>
            <w:vAlign w:val="bottom"/>
            <w:tcBorders>
              <w:bottom w:val="single" w:sz="8" w:color="CCEEFF"/>
            </w:tcBorders>
            <w:shd w:val="clear" w:color="auto" w:fill="CCEEFF"/>
          </w:tcPr>
          <w:p>
            <w:pPr>
              <w:jc w:val="right"/>
              <w:ind w:right="1078"/>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following table represents changes in the Company’s Level 3 liabilities measured at fair value on a recurring basis for the year ended December 31, 2023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Level 3</w:t>
            </w:r>
          </w:p>
        </w:tc>
      </w:tr>
      <w:tr>
        <w:trPr>
          <w:trHeight w:val="38"/>
        </w:trPr>
        <w:tc>
          <w:tcPr>
            <w:tcW w:w="9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at January 1, 2023</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9"/>
        </w:trPr>
        <w:tc>
          <w:tcPr>
            <w:tcW w:w="9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r>
      <w:tr>
        <w:trPr>
          <w:trHeight w:val="38"/>
        </w:trPr>
        <w:tc>
          <w:tcPr>
            <w:tcW w:w="9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at December 31, 2023</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changes in the Company’s Level 3 liabilities measured at fair value on a recurring basis for the year ended December 31, 2022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538"/>
              <w:spacing w:after="0"/>
              <w:rPr>
                <w:sz w:val="20"/>
                <w:szCs w:val="20"/>
                <w:color w:val="auto"/>
              </w:rPr>
            </w:pPr>
            <w:r>
              <w:rPr>
                <w:rFonts w:ascii="Times New Roman" w:cs="Times New Roman" w:eastAsia="Times New Roman" w:hAnsi="Times New Roman"/>
                <w:sz w:val="16"/>
                <w:szCs w:val="16"/>
                <w:color w:val="auto"/>
              </w:rPr>
              <w:t>Level 3</w:t>
            </w:r>
          </w:p>
        </w:tc>
      </w:tr>
      <w:tr>
        <w:trPr>
          <w:trHeight w:val="38"/>
        </w:trPr>
        <w:tc>
          <w:tcPr>
            <w:tcW w:w="95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at January 1, 2022</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33,610</w:t>
            </w:r>
          </w:p>
        </w:tc>
      </w:tr>
      <w:tr>
        <w:trPr>
          <w:trHeight w:val="219"/>
        </w:trPr>
        <w:tc>
          <w:tcPr>
            <w:tcW w:w="9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Recognition of Earn Out Liability</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98,117</w:t>
            </w:r>
          </w:p>
        </w:tc>
      </w:tr>
      <w:tr>
        <w:trPr>
          <w:trHeight w:val="38"/>
        </w:trPr>
        <w:tc>
          <w:tcPr>
            <w:tcW w:w="9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7"/>
        </w:trPr>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Private Placement Warrants liability recognized upon consummation of Business Combination</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14,465</w:t>
            </w:r>
          </w:p>
        </w:tc>
      </w:tr>
      <w:tr>
        <w:trPr>
          <w:trHeight w:val="219"/>
        </w:trPr>
        <w:tc>
          <w:tcPr>
            <w:tcW w:w="9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fair value of Earn Out Liability</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(95,700)</w:t>
            </w:r>
          </w:p>
        </w:tc>
      </w:tr>
      <w:tr>
        <w:trPr>
          <w:trHeight w:val="38"/>
        </w:trPr>
        <w:tc>
          <w:tcPr>
            <w:tcW w:w="9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7"/>
        </w:trPr>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Decrease in fair value of share-settled redemption feature upon conversion of Convertible Notes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(30,322)</w:t>
            </w:r>
          </w:p>
        </w:tc>
      </w:tr>
      <w:tr>
        <w:trPr>
          <w:trHeight w:val="219"/>
        </w:trPr>
        <w:tc>
          <w:tcPr>
            <w:tcW w:w="9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fair value of Private Placement Warrants Liability</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(14,465)</w:t>
            </w:r>
          </w:p>
        </w:tc>
      </w:tr>
      <w:tr>
        <w:trPr>
          <w:trHeight w:val="38"/>
        </w:trPr>
        <w:tc>
          <w:tcPr>
            <w:tcW w:w="9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7"/>
        </w:trPr>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Conversion of preferred stock warrant liabilities to equity</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r>
      <w:tr>
        <w:trPr>
          <w:trHeight w:val="212"/>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at December 31, 2022</w:t>
            </w:r>
          </w:p>
        </w:tc>
        <w:tc>
          <w:tcPr>
            <w:tcW w:w="34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38"/>
        </w:trPr>
        <w:tc>
          <w:tcPr>
            <w:tcW w:w="95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
        </w:trPr>
        <w:tc>
          <w:tcPr>
            <w:tcW w:w="9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As discussed above, other than the transfer of the Private Placement Warrants when they became Public Warrants in 2022, there were no other transfers of financial instruments between valuation levels during the years ended December 31, 2023 and 2022.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Management estimates that the fair 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These assumptions are inherently subjective and involve significant management judgment. Any change in fair value is recognized as a component of other expense (income), net, on the consolidated statements of operations and comprehensive loss.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 Property and equipment,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16"/>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5"/>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1000" w:type="dxa"/>
            <w:vAlign w:val="bottom"/>
          </w:tcPr>
          <w:p>
            <w:pPr>
              <w:spacing w:after="0"/>
              <w:rPr>
                <w:sz w:val="21"/>
                <w:szCs w:val="21"/>
                <w:color w:val="auto"/>
              </w:rPr>
            </w:pPr>
          </w:p>
        </w:tc>
      </w:tr>
      <w:tr>
        <w:trPr>
          <w:trHeight w:val="38"/>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80,029</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72,483</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Internal-use software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14,185</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38"/>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Construction-in-progress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6D6D6D"/>
            </w:tcBorders>
          </w:tcPr>
          <w:p>
            <w:pPr>
              <w:spacing w:after="0"/>
              <w:rPr>
                <w:sz w:val="22"/>
                <w:szCs w:val="22"/>
                <w:color w:val="auto"/>
              </w:rPr>
            </w:pPr>
          </w:p>
        </w:tc>
        <w:tc>
          <w:tcPr>
            <w:tcW w:w="11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6D6D6D"/>
            </w:tcBorders>
          </w:tcPr>
          <w:p>
            <w:pPr>
              <w:spacing w:after="0"/>
              <w:rPr>
                <w:sz w:val="22"/>
                <w:szCs w:val="22"/>
                <w:color w:val="auto"/>
              </w:rPr>
            </w:pPr>
          </w:p>
        </w:tc>
        <w:tc>
          <w:tcPr>
            <w:tcW w:w="10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r>
      <w:tr>
        <w:trPr>
          <w:trHeight w:val="229"/>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114,590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101,833</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(69,227)</w:t>
            </w:r>
          </w:p>
        </w:tc>
      </w:tr>
      <w:tr>
        <w:trPr>
          <w:trHeight w:val="38"/>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8"/>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Primarily includes costs for internal-use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expense for the years ended December 31, 2023, 2022, and 2021 was $22.1 million, $23.9 million, and $17.7 million, respectively.</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$0.7 million and $3.0 million of impairment on various property and equipment which was recorded in impairment losses on the Company's consolidated statements of operations and comprehensive loss. There was no impairment recognized in 2021.</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Company disposed of $1.3 million, $2.6 million, and $2.5 million in property and equipment and likewise wrote off previously recognized accumulated depreciation of $0.3 million, $2.1 million, and $1.7 million, respectively.</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an immaterial loss on disposal. For the years ended December 31, 2022 and 2021, the Company recognized $0.3 million, and $0.7 million of loss on disposal. Loss on disposal was recorded in operations and support on the Company's consolidated statements of operations and comprehensive loss.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Debt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Delayed Draw Notes Purchase Agreement</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December 10, 2021, the Company entered into a note and warrant purchase agreement (the “Delayed Draw Notes Purchase Agreement”) with certain private placement investors (“Purchasers”) for the sale of delayed draw notes in aggregate of $165.0 million to be available to the Company following the consummation of the Business Combination (the “Delayed Draw Notes”). The Delayed Draw Notes Purchase Agreement also provided for the issuance of warrants to purchase an aggregate of 123,750 shares of the Company’s common stock with an exercise price of $250.00 per share (the “Delayed Draw Warrants”).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In January 2022, upon consummation of the Business Combination, the Company drew $165.0 million in Delayed Draw Notes and issued Delayed Draw Warrants to purchase 123,750 shares of common stock to the Purchasers. The Delayed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Draw Notes have a maturity of five years from the date of issuance and are subject to interest on the unpaid principal amount at a rate per annum equal to the three-month secured overnight financing rate (“SOFR”) plus 9.0% payable in cash. At December 31, 2023, the effective interest rate of the Delayed Draw Notes was 17.4%. For the first two years, the Company elected payment-in-kind (“PIK”) interest, quarterly in arrears. The Delayed Draw Notes are secured by substantially all of the assets of the Company. The Delayed Draw Warrants expire five years after issuance.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December 21, 2022, the Company entered into an amendment (the “First Notes Amendment”), between various obligors, guarantors, investors, and the collateral agent, which amended the Note and Warrant Purchase Agreement dated December 10, 2021. Among other things, the First Notes Amendment provided additional flexibility to the Company and its subsidiaries under certain of the negative covenants in the Purchase Agreement, including to permit transactions contemplated by the Loan Agreement and the Existing HSBC Letters of Credit and related cash collateral.</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November 6, 2023, the Company entered into an amendment (the “Second Notes Amendment”), which amended the Note and Warrant Purchase Agreement and the First Notes Amendment which: (i) extended the ability to pay interest in kind on the Delayed Draw Notes through July 19, 2024, (ii) provided for the repayment by the Company of $30.0 million of the outstanding principal amount of the Delayed Draw Notes, plus a prepayment premium of approximately $4.3 million, and (iii) added a minimum liquidity covenant and a minimum free cash flow covenant, each as more fully detailed in the amendment.</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 xml:space="preserve">On June 10, 2024, the Company entered into an amendment (the “Third Notes Amendment”) which amended the Delayed Draw Notes Purchase Agreement, the First Notes Amendment, and the Second Notes Amendment. See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for additional information regarding the Third Notes Amendment.</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On July 12, 2024, the Company entered into an amendment (the “Fourth Notes Amendment”) which amended the Delayed Draw Notes Purchase Agreement, the First Notes Amendment, the Second Notes Amendment, and the Third Notes Amendment. See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for additional information regarding the Fourth Notes Amendment.</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On August 13, 2024, the Company entered into an amendment (the “Fifth Notes Amendment”) which amended the Delayed Draw Notes Purchase Agreement, the First Notes Amendment, the Second Notes Amendment, the Third Notes Amendment, and the Fourth Notes Amendment. See Note 18,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for additional information regarding the Fifth Notes Amendment.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Going Concern Considerations and Potential Event of Default for Delayed Draw Notes Purchase Agreement</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Accordingly, this going concern determination and related financial statement opinion that includes a going concern explanatory paragraph is not in compliance with our affirmative covenants. If not cured within 30 days by obtaining a waiver from the purchasers under the Delayed Draw Notes Purchase Agreement, it would then constitute an Event of Default as defined therein.</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are in discussions with the Purchasers under the Delayed Draw Notes Purchase Agreement to obtain a waiver for this potential Event of Default. We have reclassified the balances associated with our Delayed Draw Notes as of December 31, 2023 from long-term debt, net to current portion of long-term debt, net, which includes all related debt discount and unamortized deferred issuance costs, to reflect the potential Event of Default under the Delayed Draw Notes Purchase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Equipment Financing Agreement</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July 25, 2023, the Company entered into a master equipment financing agreement (the “EFA”), which is accounted for as debt. In accordance with the agreement, the Company received approximately $3.0 million in exchange for conveying an interest in certain furniture, fixtures, and equipment (“FF&amp;E”). The EFA contains customary terms and events of default and provides for 12 quarterly payments with an effective interest rate of approximately 12.8% as of December 31, 2023, which includes a balloon payment at the end of the term. The agreement matures in July 2026. Upon maturity, all interest in the subject FF&amp;E will revert back to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6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750"/>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 term debt, net consisted of the following (in thousands):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5"/>
        </w:trPr>
        <w:tc>
          <w:tcPr>
            <w:tcW w:w="11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24"/>
                <w:szCs w:val="24"/>
                <w:color w:val="auto"/>
              </w:rPr>
            </w:pPr>
          </w:p>
        </w:tc>
        <w:tc>
          <w:tcPr>
            <w:tcW w:w="15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38"/>
        </w:trPr>
        <w:tc>
          <w:tcPr>
            <w:tcW w:w="774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9"/>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Draw Notes Purchase Agreement, including capitalized PIK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183,245</w:t>
            </w:r>
          </w:p>
        </w:tc>
      </w:tr>
      <w:tr>
        <w:trPr>
          <w:trHeight w:val="21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EFA</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77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7"/>
        </w:trPr>
        <w:tc>
          <w:tcPr>
            <w:tcW w:w="7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debt discount related to Delayed Draw Warrants, net of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r>
      <w:tr>
        <w:trPr>
          <w:trHeight w:val="219"/>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Less: unamortized deferred issuance costs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r>
      <w:tr>
        <w:trPr>
          <w:trHeight w:val="38"/>
        </w:trPr>
        <w:tc>
          <w:tcPr>
            <w:tcW w:w="774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r>
      <w:tr>
        <w:trPr>
          <w:trHeight w:val="229"/>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172,950</w:t>
            </w:r>
          </w:p>
        </w:tc>
      </w:tr>
      <w:tr>
        <w:trPr>
          <w:trHeight w:val="219"/>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774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6D6D6D"/>
            </w:tcBorders>
          </w:tcPr>
          <w:p>
            <w:pPr>
              <w:spacing w:after="0"/>
              <w:rPr>
                <w:sz w:val="3"/>
                <w:szCs w:val="3"/>
                <w:color w:val="auto"/>
              </w:rPr>
            </w:pPr>
          </w:p>
        </w:tc>
        <w:tc>
          <w:tcPr>
            <w:tcW w:w="1560" w:type="dxa"/>
            <w:vAlign w:val="bottom"/>
            <w:tcBorders>
              <w:bottom w:val="single" w:sz="8" w:color="6D6D6D"/>
            </w:tcBorders>
          </w:tcPr>
          <w:p>
            <w:pPr>
              <w:spacing w:after="0"/>
              <w:rPr>
                <w:sz w:val="3"/>
                <w:szCs w:val="3"/>
                <w:color w:val="auto"/>
              </w:rPr>
            </w:pPr>
          </w:p>
        </w:tc>
      </w:tr>
      <w:tr>
        <w:trPr>
          <w:trHeight w:val="274"/>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172,950</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6D6D6D"/>
              <w:bottom w:val="single" w:sz="8" w:color="6D6D6D"/>
            </w:tcBorders>
          </w:tcPr>
          <w:p>
            <w:pPr>
              <w:spacing w:after="0" w:line="20" w:lineRule="exact"/>
              <w:rPr>
                <w:sz w:val="1"/>
                <w:szCs w:val="1"/>
                <w:color w:val="auto"/>
              </w:rPr>
            </w:pPr>
          </w:p>
        </w:tc>
        <w:tc>
          <w:tcPr>
            <w:tcW w:w="1560" w:type="dxa"/>
            <w:vAlign w:val="bottom"/>
            <w:tcBorders>
              <w:top w:val="single" w:sz="8" w:color="6D6D6D"/>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6D6D6D"/>
              <w:bottom w:val="single" w:sz="8" w:color="6D6D6D"/>
            </w:tcBorders>
          </w:tcPr>
          <w:p>
            <w:pPr>
              <w:spacing w:after="0" w:line="20" w:lineRule="exact"/>
              <w:rPr>
                <w:sz w:val="1"/>
                <w:szCs w:val="1"/>
                <w:color w:val="auto"/>
              </w:rPr>
            </w:pPr>
          </w:p>
        </w:tc>
        <w:tc>
          <w:tcPr>
            <w:tcW w:w="1560" w:type="dxa"/>
            <w:vAlign w:val="bottom"/>
            <w:tcBorders>
              <w:top w:val="single" w:sz="8" w:color="6D6D6D"/>
              <w:bottom w:val="single" w:sz="8" w:color="6D6D6D"/>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At December 31, 2023, the current portion of long-term debt consisted of $167.7 million in principal on the Delayed Draw Notes Purchase Agreement and $1.0 million in principal on the EFA. The Company did not have any portion of long term debt that was current at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Convertible Notes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In January 2022, upon consummation of the Business Combination, the outstanding principal and accrued and unpaid interest of the Company’s convertible notes were automatically converted into 950,855 shares of common stock for a value of $159.2 million. As a result, the Company recognized a gain on conversion of $29.5 million as a result of a change in the fair value of the share-settled redemption feature and $159.2 million additional-paid-in-capital. The Company also recognized the change in fair value of the share-settled redemption feature, prior to conversion, of $30.3 million, expense related to the debt discount of $10.0 million and interest expense of $1.4 million.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2018 Loan and Security Agreement</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In December 2018, Legacy Sonder entered into a loan and security agreement (the “2018 Loan and Security Agreement”) with certain venture lenders that provided aggregate borrowing capacity of $50.0 million. In January 2022, upon consummation of the Business Combination, the Company paid $24.7 million of the outstanding principal of the 2018 Loan and Security Agreement and $3.1 million in early termination fees. Additionally, in connection with the repayment of the 2018 Loan and Security Agreement, the Company wrote off $0.4 million of deferred issuance costs and recognized $0.2 million of interest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Loan and Security Agreement</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December 2022, the Company entered into a loan and security agreement with Silicon Valley Bank (“SVB”) (now a division of First Citizens Bank &amp; Trust Company) (the “2022 Loan and Security Agreement”) for a revolving line of credit in an aggregate principal balance of $60.0 million with a maturity date of December 21, 2025. The facility may be utilized for revolving loans or letter of credit issuances subject to terms of the agreement. As of December 31, 2023, all letters of credit under this facility are fully cash collateralized, and as a result, the Company may not draw against the facility pursuant to the terms of the agreement. The 2022 Loan and Security Agreement includes: (i) (x)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w:t>
      </w:r>
    </w:p>
    <w:p>
      <w:pPr>
        <w:spacing w:after="0" w:line="19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April 2023, the Company amended the 2022 Loan and Security Agreement. Among other things, the amendment (i) reduced the required cash holdings account balances in the Company’s operating accounts, securities accounts, and depository accounts at or through SVB or its affiliates, (ii) amends the minimum consolidated adjusted EBITDA financial covenant, and (iii) provided additional flexibility to the Company under certain of the negative covenants in the agreement.</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November 2023, the Company amended the 2022 Loan and Security Agreement. The amendment (i) removed the adjusted quick ratio financial covenant to which the Company was previously subject, (ii) updated certain financial reporting requirements, (iii) reduced the letter of credit sublimit from $60.0 million to $45.0 million, and (iv) permitted a prepayment of the Company’s existing subordinated secured notes.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At December 31, 2023, and as of the date the consolidated financial statements were issued, the Company is in compliance with all financial covenants related to the 2022 Loan and Security Agreement, as amended. Additionally, at December 31, 2023, there were no revolving borrowings outstanding under the 2022 Loan and Security Agreement. Outstanding letters of credit as of December 31, 2023 and December 31, 2022 were permitted under the 2022 Loan and Security Agreement and totaled $37.6 million and $38.8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2022 Loan and Security Agreement Waiver related to Going Concern</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Because the Company’s management has concluded that there is substantial doubt, which is not alleviated, about our ability to continue as a going concern for at least one year from the date of issuance of these financial statements, the associated financial statement opinion includes a going concern explanatory paragraph. We have entered into a Waiver Agreement on September 26, 2024 with Silicon Valley Bank, in which Silicon Valley Bank waived any Default or Event of Default (each as defined in the Loan Agreement) related to the covenant non-compliance resulting from the going concern explanatory paragraph.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Facilities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2020 Credit Facility</w:t>
      </w:r>
      <w:r>
        <w:rPr>
          <w:rFonts w:ascii="Times New Roman" w:cs="Times New Roman" w:eastAsia="Times New Roman" w:hAnsi="Times New Roman"/>
          <w:sz w:val="16"/>
          <w:szCs w:val="16"/>
          <w:color w:val="auto"/>
        </w:rPr>
        <w:t>: In February 2020, Legacy Sonder entered into a revolving credit agreement (the “2020 Credit Facility”) for an aggregate principal balance of $50.0 million with a maturity date of February 21, 2023. In December 2022, the 2020 Credit Facility was terminated in conjunction with the Company obtaining the 2022 Loan and Security Agreement.</w:t>
      </w:r>
    </w:p>
    <w:p>
      <w:pPr>
        <w:spacing w:after="0" w:line="18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2020 Québec Credit Facility</w:t>
      </w:r>
      <w:r>
        <w:rPr>
          <w:rFonts w:ascii="Times New Roman" w:cs="Times New Roman" w:eastAsia="Times New Roman" w:hAnsi="Times New Roman"/>
          <w:sz w:val="16"/>
          <w:szCs w:val="16"/>
          <w:color w:val="auto"/>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and 2022,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Throughout 2023 and 2022, the Company entered into multiple cash collateral agreements in connection with the issuance of letters of credit and corporate credit card programs. At December 31, 2023 and 2022, the Company had $40.7 million and $42.6 million, respectively, of cash collateral which is reported as restricted cash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Leases</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Company leases buildings or portions of buildings for guest usage and warehouses to store furniture under noncancellable operating lease agreements which expire through 2045. The Company is required to pay property taxes, insurance, and maintenance costs for certain of these facilities.</w:t>
      </w:r>
    </w:p>
    <w:p>
      <w:pPr>
        <w:spacing w:after="0" w:line="1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Company has lease agreements with lease and non-lease components and has elected to utilize the practical expedient to account for lease and non-lease components together in the consolidated statements of operations and comprehensive loss.</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Operating lease ROU assets are included within operating lease right-of-use assets in the consolidated balance sheets. The corresponding operating lease liabilities are included within current operating lease liabilities and non-current operating lease liabilities in the consolidated balance sheets. ROU assets represent the Company’s right to use an underlying asset for the lease term and lease liabilities represent the Company’s obligation to make lease payments arising from the lease.</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Lease expense for fixed operating lease payments is recognized on a straight-line basis over the lease term. The Company’s lease terms may include options to extend or terminate the lease when it is reasonably certain that it will exercise that option.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8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lease expense are as follows (in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211"/>
        </w:trPr>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xml:space="preserve">2022 </w:t>
            </w:r>
            <w:r>
              <w:rPr>
                <w:rFonts w:ascii="Times New Roman" w:cs="Times New Roman" w:eastAsia="Times New Roman" w:hAnsi="Times New Roman"/>
                <w:sz w:val="13"/>
                <w:szCs w:val="13"/>
                <w:i w:val="1"/>
                <w:iCs w:val="1"/>
                <w:color w:val="auto"/>
              </w:rPr>
              <w:t>(As Restated)</w:t>
            </w:r>
          </w:p>
        </w:tc>
        <w:tc>
          <w:tcPr>
            <w:tcW w:w="0" w:type="dxa"/>
            <w:vAlign w:val="bottom"/>
          </w:tcPr>
          <w:p>
            <w:pPr>
              <w:spacing w:after="0"/>
              <w:rPr>
                <w:sz w:val="1"/>
                <w:szCs w:val="1"/>
                <w:color w:val="auto"/>
              </w:rPr>
            </w:pPr>
          </w:p>
        </w:tc>
      </w:tr>
      <w:tr>
        <w:trPr>
          <w:trHeight w:val="25"/>
        </w:trPr>
        <w:tc>
          <w:tcPr>
            <w:tcW w:w="7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265,656</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0" w:type="dxa"/>
            <w:vAlign w:val="bottom"/>
          </w:tcPr>
          <w:p>
            <w:pPr>
              <w:spacing w:after="0"/>
              <w:rPr>
                <w:sz w:val="21"/>
                <w:szCs w:val="21"/>
                <w:color w:val="auto"/>
              </w:rPr>
            </w:pPr>
          </w:p>
        </w:tc>
        <w:tc>
          <w:tcPr>
            <w:tcW w:w="1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rPr>
              <w:t>323,632</w:t>
            </w:r>
          </w:p>
        </w:tc>
        <w:tc>
          <w:tcPr>
            <w:tcW w:w="20" w:type="dxa"/>
            <w:vAlign w:val="bottom"/>
            <w:tcBorders>
              <w:top w:val="single" w:sz="8" w:color="929292"/>
              <w:bottom w:val="single" w:sz="8" w:color="929292"/>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rPr>
              <w:t>274,453</w:t>
            </w:r>
          </w:p>
        </w:tc>
        <w:tc>
          <w:tcPr>
            <w:tcW w:w="40" w:type="dxa"/>
            <w:vAlign w:val="bottom"/>
            <w:tcBorders>
              <w:top w:val="single" w:sz="8" w:color="929292"/>
              <w:bottom w:val="single" w:sz="8" w:color="929292"/>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7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 related to operating leases is as follows (in thousands):</w:t>
            </w:r>
          </w:p>
        </w:tc>
        <w:tc>
          <w:tcPr>
            <w:tcW w:w="20" w:type="dxa"/>
            <w:vAlign w:val="bottom"/>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1800" w:type="dxa"/>
            <w:vAlign w:val="bottom"/>
            <w:tcBorders>
              <w:bottom w:val="single" w:sz="8" w:color="929292"/>
            </w:tcBorders>
          </w:tcPr>
          <w:p>
            <w:pPr>
              <w:spacing w:after="0"/>
              <w:rPr>
                <w:sz w:val="2"/>
                <w:szCs w:val="2"/>
                <w:color w:val="auto"/>
              </w:rPr>
            </w:pPr>
          </w:p>
        </w:tc>
        <w:tc>
          <w:tcPr>
            <w:tcW w:w="20" w:type="dxa"/>
            <w:vAlign w:val="bottom"/>
            <w:tcBorders>
              <w:bottom w:val="single" w:sz="8" w:color="929292"/>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1800" w:type="dxa"/>
            <w:vAlign w:val="bottom"/>
            <w:tcBorders>
              <w:bottom w:val="single" w:sz="8" w:color="929292"/>
            </w:tcBorders>
          </w:tcPr>
          <w:p>
            <w:pPr>
              <w:spacing w:after="0"/>
              <w:rPr>
                <w:sz w:val="2"/>
                <w:szCs w:val="2"/>
                <w:color w:val="auto"/>
              </w:rPr>
            </w:pPr>
          </w:p>
        </w:tc>
        <w:tc>
          <w:tcPr>
            <w:tcW w:w="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211"/>
        </w:trPr>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 xml:space="preserve">2022 </w:t>
            </w:r>
            <w:r>
              <w:rPr>
                <w:rFonts w:ascii="Times New Roman" w:cs="Times New Roman" w:eastAsia="Times New Roman" w:hAnsi="Times New Roman"/>
                <w:sz w:val="13"/>
                <w:szCs w:val="13"/>
                <w:i w:val="1"/>
                <w:iCs w:val="1"/>
                <w:color w:val="auto"/>
              </w:rPr>
              <w:t>(As Restated)</w:t>
            </w:r>
          </w:p>
        </w:tc>
        <w:tc>
          <w:tcPr>
            <w:tcW w:w="0" w:type="dxa"/>
            <w:vAlign w:val="bottom"/>
          </w:tcPr>
          <w:p>
            <w:pPr>
              <w:spacing w:after="0"/>
              <w:rPr>
                <w:sz w:val="1"/>
                <w:szCs w:val="1"/>
                <w:color w:val="auto"/>
              </w:rPr>
            </w:pPr>
          </w:p>
        </w:tc>
      </w:tr>
      <w:tr>
        <w:trPr>
          <w:trHeight w:val="38"/>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operating leases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285,080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217,510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operating lease ROU assets obtained in exchange for operating lease liabilities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205,285</w:t>
            </w: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312,478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2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8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Early lease terminations gain</w:t>
            </w:r>
            <w:r>
              <w:rPr>
                <w:rFonts w:ascii="Times New Roman" w:cs="Times New Roman" w:eastAsia="Times New Roman" w:hAnsi="Times New Roman"/>
                <w:sz w:val="21"/>
                <w:szCs w:val="21"/>
                <w:color w:val="auto"/>
                <w:vertAlign w:val="superscript"/>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10,145</w:t>
            </w:r>
          </w:p>
        </w:tc>
        <w:tc>
          <w:tcPr>
            <w:tcW w:w="2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220" w:right="20" w:hanging="219"/>
        <w:spacing w:after="0" w:line="236" w:lineRule="auto"/>
        <w:rPr>
          <w:sz w:val="20"/>
          <w:szCs w:val="20"/>
          <w:color w:val="auto"/>
        </w:rPr>
      </w:pPr>
      <w:r>
        <w:rPr>
          <w:rFonts w:ascii="Times New Roman" w:cs="Times New Roman" w:eastAsia="Times New Roman" w:hAnsi="Times New Roman"/>
          <w:sz w:val="8"/>
          <w:szCs w:val="8"/>
          <w:color w:val="auto"/>
        </w:rPr>
        <w: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4"/>
          <w:szCs w:val="14"/>
          <w:color w:val="auto"/>
        </w:rPr>
        <w:t>In 2023, as part of the Portfolio Optimization Program, the Company began a detailed review of all properties. As many properties were previously impaired in 2022, certain leased</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4"/>
          <w:szCs w:val="14"/>
          <w:color w:val="auto"/>
        </w:rPr>
        <w:t>properties modified in 2023 led to early terminations, resulting in a gain.</w:t>
      </w:r>
    </w:p>
    <w:p>
      <w:pPr>
        <w:spacing w:after="0" w:line="1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At December 31, 2023 and 2022, the weighted-average remaining lease term was 7.3 years and 7.5 years, respectively, and the weighted-average discount rate used to determine the net present value of the lease liabilities was 9.6% and 9.5%,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2023, remaining maturities for operating lease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1450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020" cy="163195"/>
                    </a:xfrm>
                    <a:prstGeom prst="rect">
                      <a:avLst/>
                    </a:prstGeom>
                    <a:noFill/>
                  </pic:spPr>
                </pic:pic>
              </a:graphicData>
            </a:graphic>
          </wp:anchor>
        </w:drawing>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 the year ended December 31,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288,864</w:t>
            </w:r>
          </w:p>
        </w:tc>
      </w:tr>
      <w:tr>
        <w:trPr>
          <w:trHeight w:val="38"/>
        </w:trPr>
        <w:tc>
          <w:tcPr>
            <w:tcW w:w="9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265,974</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255,220</w:t>
            </w:r>
          </w:p>
        </w:tc>
      </w:tr>
      <w:tr>
        <w:trPr>
          <w:trHeight w:val="38"/>
        </w:trPr>
        <w:tc>
          <w:tcPr>
            <w:tcW w:w="9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226,976</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197,742</w:t>
            </w:r>
          </w:p>
        </w:tc>
      </w:tr>
      <w:tr>
        <w:trPr>
          <w:trHeight w:val="38"/>
        </w:trPr>
        <w:tc>
          <w:tcPr>
            <w:tcW w:w="9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593,088</w:t>
            </w:r>
          </w:p>
        </w:tc>
      </w:tr>
      <w:tr>
        <w:trPr>
          <w:trHeight w:val="212"/>
        </w:trPr>
        <w:tc>
          <w:tcPr>
            <w:tcW w:w="9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lease payments</w:t>
            </w: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1,827,864</w:t>
            </w:r>
          </w:p>
        </w:tc>
      </w:tr>
      <w:tr>
        <w:trPr>
          <w:trHeight w:val="38"/>
        </w:trPr>
        <w:tc>
          <w:tcPr>
            <w:tcW w:w="9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238,920</w:t>
            </w:r>
          </w:p>
        </w:tc>
      </w:tr>
      <w:tr>
        <w:trPr>
          <w:trHeight w:val="243"/>
        </w:trPr>
        <w:tc>
          <w:tcPr>
            <w:tcW w:w="9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 net</w:t>
            </w:r>
          </w:p>
        </w:tc>
        <w:tc>
          <w:tcPr>
            <w:tcW w:w="440" w:type="dxa"/>
            <w:vAlign w:val="bottom"/>
            <w:tcBorders>
              <w:top w:val="single" w:sz="8" w:color="929292"/>
              <w:bottom w:val="single" w:sz="8" w:color="929292"/>
            </w:tcBorders>
          </w:tcPr>
          <w:p>
            <w:pPr>
              <w:jc w:val="right"/>
              <w:ind w:right="258"/>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rPr>
              <w:t>1,588,944</w:t>
            </w:r>
          </w:p>
        </w:tc>
      </w:tr>
      <w:tr>
        <w:trPr>
          <w:trHeight w:val="23"/>
        </w:trPr>
        <w:tc>
          <w:tcPr>
            <w:tcW w:w="9760" w:type="dxa"/>
            <w:vAlign w:val="bottom"/>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060" w:type="dxa"/>
            <w:vAlign w:val="bottom"/>
            <w:tcBorders>
              <w:bottom w:val="single" w:sz="8" w:color="929292"/>
            </w:tcBorders>
          </w:tcPr>
          <w:p>
            <w:pPr>
              <w:spacing w:after="0"/>
              <w:rPr>
                <w:sz w:val="2"/>
                <w:szCs w:val="2"/>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addition to the operating lease liabilities noted above, at December 31, 2023, the Company entered into leases that have not yet commenced with future lease payments totaling $0.8 billion, excluding purchase options, that are not yet recorded on the consolidated balance sheets. For 2023, these leases will commence between 2024 and 2026 with non-cancelable lease terms of five to 20 years.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During the year ended December 31, 2023, the Company identified an impairment of its operating lease ROU asset and recorded a non-cash impairment charge in the amount of $58.5 million and $79.1 million for the years ended December 31, 2023 and 2022, respectively. The impairment charge relates to certain underperforming properties and is included within impairment losses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Warrants and Stockholders' Deficit</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consolidated statements of stockholders’ deficit reflect the consummation of the Business Combination on January 18, 2022. As Legacy Sonder was deemed the accounting acquirer in the Business Combination with GMII, all periods prior to the closing date reflect the balances and activity of Legacy Sonder. The balances at December 31, 2021 from the consolidated financial statements of Legacy Sonder as of that date, share activity (redeemable convertible preferred stock, exchangeable shares, and common stock), and per share amounts were retroactively adjusted, where applicable, using the recapitalization exchange ratio of 1.4686. All redeemable convertible preferred stock classified as mezzanine equity was converted into common stock, and reclassified into permanent equity as a result of the Business Combination.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Reverse Stock Split</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September 20, 2023, the Company effected the 1-for-20 Reverse Stock Split of the outstanding shares of the Company’s common stock (including special voting common stock). The par value of one share of common stock and one share of special voting stock remained unchanged as a result of the Reverse Stock Split. Refer to Note 1 for additional details regarding the Reverse Stock Split. All share and per share information within the consolidated financial statements have been retroactively restated to reflect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Preferred Stock Warrants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Upon consummation of the Business Combination, (i) the Company’s Series A and Series B preferred stock warrants were converted into 7,761 post-combination shares of the Company’s common stock for a value of $1.2 million, and (ii) the former Series C and Series D preferred stock warrants automatically converted into warrants to purchase shares of the Company’s common stock.</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 xml:space="preserve">The Series C and Series D preferred stock warrants are accounted for as equity in accordance with ASC 815-40, </w:t>
      </w:r>
      <w:r>
        <w:rPr>
          <w:rFonts w:ascii="Times New Roman" w:cs="Times New Roman" w:eastAsia="Times New Roman" w:hAnsi="Times New Roman"/>
          <w:sz w:val="16"/>
          <w:szCs w:val="16"/>
          <w:i w:val="1"/>
          <w:iCs w:val="1"/>
          <w:color w:val="auto"/>
        </w:rPr>
        <w:t>Derivatives and Hedging – Contracts on an Entity’s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Equity </w:t>
      </w:r>
      <w:r>
        <w:rPr>
          <w:rFonts w:ascii="Times New Roman" w:cs="Times New Roman" w:eastAsia="Times New Roman" w:hAnsi="Times New Roman"/>
          <w:sz w:val="16"/>
          <w:szCs w:val="16"/>
          <w:color w:val="auto"/>
        </w:rPr>
        <w:t>(“ASC 815-40”). Upon consummation of the Business Combination, the Company reclassified $2.1 million related to such warrants from other non-current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liabilities to equity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Common Stock Warrants</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u w:val="single" w:color="auto"/>
          <w:color w:val="auto"/>
        </w:rPr>
        <w:t>Former Series C and D Preferred Stock Warrants</w:t>
      </w:r>
      <w:r>
        <w:rPr>
          <w:rFonts w:ascii="Times New Roman" w:cs="Times New Roman" w:eastAsia="Times New Roman" w:hAnsi="Times New Roman"/>
          <w:sz w:val="16"/>
          <w:szCs w:val="16"/>
          <w:color w:val="auto"/>
        </w:rPr>
        <w:t>: In connection with the Business Combination as indicated above, the Company had outstanding warrants to purchase 21,281 shares of common stock as of December 31, 2023 and December 31, 2022.</w:t>
      </w:r>
    </w:p>
    <w:p>
      <w:pPr>
        <w:spacing w:after="0" w:line="1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u w:val="single" w:color="auto"/>
          <w:color w:val="auto"/>
        </w:rPr>
        <w:t>Delayed Draw Issuance</w:t>
      </w:r>
      <w:r>
        <w:rPr>
          <w:rFonts w:ascii="Times New Roman" w:cs="Times New Roman" w:eastAsia="Times New Roman" w:hAnsi="Times New Roman"/>
          <w:sz w:val="16"/>
          <w:szCs w:val="16"/>
          <w:color w:val="auto"/>
        </w:rPr>
        <w:t>: On June 10, 2024, in connection with the Third Notes Amendment, purchasers of Delayed Draw Notes also received detachable warrants (the “Warrants”) to purchase an aggregate of 475,264 shares of the Company’s Common Stock, each with an exercise price of $0.01 per share and an expiration date five years after the issuance date. The purchasers of the Delayed Draw Notes were also provided with customary registration rights for the shares issuable upon exercise of the Warrants.</w:t>
      </w:r>
    </w:p>
    <w:p>
      <w:pPr>
        <w:spacing w:after="0" w:line="3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u w:val="single" w:color="auto"/>
          <w:color w:val="auto"/>
        </w:rPr>
        <w:t>Delayed Draw Warrants</w:t>
      </w:r>
      <w:r>
        <w:rPr>
          <w:rFonts w:ascii="Times New Roman" w:cs="Times New Roman" w:eastAsia="Times New Roman" w:hAnsi="Times New Roman"/>
          <w:sz w:val="16"/>
          <w:szCs w:val="16"/>
          <w:color w:val="auto"/>
        </w:rPr>
        <w:t>: The Delayed Draw Warrants which were outstanding as of December 31, 2023 and December 31, 2022 were issued to the original purchasers of Delayed Draw Notes and were accounted for as equity-classified warrants in accordance with ASC 815-40. Upon consummation of the Business Combination, the value of the Delayed Draw Warrants was $5.6 million and was recorded within additional paid-in capital in the consolidated balance sheets. The purchasers of the Delayed Draw Notes were also provided with customary registration rights for the shares issuable upon exercise of the Delayed Draw Warrants. Such warrants were canceled in connection with the issuance of the June 10, 2024 Third Notes Amendment as described in the Subsequent Events note.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u w:val="single" w:color="auto"/>
          <w:color w:val="auto"/>
        </w:rPr>
        <w:t>SPAC Warrants</w:t>
      </w:r>
      <w:r>
        <w:rPr>
          <w:rFonts w:ascii="Times New Roman" w:cs="Times New Roman" w:eastAsia="Times New Roman" w:hAnsi="Times New Roman"/>
          <w:sz w:val="16"/>
          <w:szCs w:val="16"/>
          <w:color w:val="auto"/>
        </w:rPr>
        <w:t xml:space="preserve">: The Public Warrants remained outstanding upon consummation of the Business Combination and became exercisable for whole shares of common stock. The Public Warrants will expire on January 18, 2027, or earlier upon redemption or liquidation. The Private Placement Warrants had terms and provisions that were identical to those of the Public Warrants, except that the Private Placement Warrants could be physical (cash) or net share (cashless) settled and were not redeemable, so long as they were held by Gores Metropoulos Sponsor II, LLC (the “Sponsor”) or its permitted transferees, and are entitled to certain registration rights. As discussed in Note 6, </w:t>
      </w:r>
      <w:r>
        <w:rPr>
          <w:rFonts w:ascii="Times New Roman" w:cs="Times New Roman" w:eastAsia="Times New Roman" w:hAnsi="Times New Roman"/>
          <w:sz w:val="16"/>
          <w:szCs w:val="16"/>
          <w:i w:val="1"/>
          <w:iCs w:val="1"/>
          <w:color w:val="auto"/>
        </w:rPr>
        <w:t>Fair Value Measurement and Financial Instruments,</w:t>
      </w:r>
      <w:r>
        <w:rPr>
          <w:rFonts w:ascii="Times New Roman" w:cs="Times New Roman" w:eastAsia="Times New Roman" w:hAnsi="Times New Roman"/>
          <w:sz w:val="16"/>
          <w:szCs w:val="16"/>
          <w:color w:val="auto"/>
        </w:rPr>
        <w:t xml:space="preserve"> during the three months ended March 31, 2022, the Private Placement Warrants were transferred by the warrant holders in accordance with the terms of the Private Placement Warrant agreement and became Public Warrants.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SPAC Warrants are accounted for as liabilities, as there are certain terms and features of the warrants that do not qualify for equity classification in accordance with ASC 815-40. The fair value of the SPAC Warrants at December 31, 2023 was a liability of $0.3 million and was recorded in other non-current liabilities in the consolidated balance sheet. At December 31, 2022, the fair value of the Public Warrants was a liability of $0.9 million and was recorded in other non-current liabilities in the consolidated balance sheets. During 2023, the Company recorded $12.2 million as an adjustment to the initial recorded fair value of $23.7 million for the Public Warrants upon consummation of the Business Combination. This adjustment was made as a $12.2 million reduction to the originally recorded additional paid in capital and a corresponding reduction to other income in the consolidated statements of operations and comprehensive loss. The change in fair value of $11.1 million for the year ended December 31, 2022 is reflected as non-operating income in the consolidated statements of operations and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Exchangeable Stock</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Upon consummation of the Business Combination on January 18, 2022, each share of Sonder Canada Inc. (“Legacy Sonder Canada”) exchangeable common stock (“Legacy Sonder Canada Exchangeable Stock” and collectively, “Legacy Sonder Canada Exchangeable Shares”) was exchanged into a new series of the same class of virtually identical Legacy Sonder Canada Exchangeable Common Stock (“Post-Combination 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the following authorized and outstanding Post-Combination Exchangeable Common Stock (in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18"/>
                <w:szCs w:val="18"/>
                <w:color w:val="auto"/>
              </w:rPr>
            </w:pPr>
          </w:p>
        </w:tc>
        <w:tc>
          <w:tcPr>
            <w:tcW w:w="15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38"/>
        </w:trPr>
        <w:tc>
          <w:tcPr>
            <w:tcW w:w="77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Authorized</w:t>
            </w: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1,019,460</w:t>
            </w:r>
          </w:p>
        </w:tc>
      </w:tr>
      <w:tr>
        <w:trPr>
          <w:trHeight w:val="38"/>
        </w:trPr>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Price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31,399</w:t>
            </w:r>
          </w:p>
        </w:tc>
      </w:tr>
      <w:tr>
        <w:trPr>
          <w:trHeight w:val="38"/>
        </w:trPr>
        <w:tc>
          <w:tcPr>
            <w:tcW w:w="7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Liquidation Preference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31,399</w:t>
            </w:r>
          </w:p>
        </w:tc>
      </w:tr>
      <w:tr>
        <w:trPr>
          <w:trHeight w:val="38"/>
        </w:trPr>
        <w:tc>
          <w:tcPr>
            <w:tcW w:w="7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net carrying value of the Post-Combination Exchangeable Shares is included in additional paid-in capital in the consolidated balance sheets.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Redeemable Convertible Preferred Stock</w:t>
      </w:r>
    </w:p>
    <w:p>
      <w:pPr>
        <w:spacing w:after="0" w:line="234"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Upon consummation of the Business Combination, all the Company’s shares of redeemable convertible preferred stock were automatically converted into shares of post-combination common stock for a value of $518.8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Common and Preferred Stock</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Company’s amended and restated certificate of incorporation following the Business Combination and the Reverse Stock Split authorizes the issuance of 272,000,000 shares, consisting of: (a) 22,000,000 shares of general common stock (“General Common Stock”), including: (i) 20,000,000 shares of common stock, and (ii) 2,000,000 shares of Special Voting Common Stock (“Special Voting Common Stock”), and (b) 250,000,000 shares of preferred stock, par value $0.0001 per share (“Preferred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The Company had reserved the following shares of common stock for future issuance: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65"/>
        </w:trPr>
        <w:tc>
          <w:tcPr>
            <w:tcW w:w="774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December 31, 2023</w:t>
            </w:r>
          </w:p>
        </w:tc>
        <w:tc>
          <w:tcPr>
            <w:tcW w:w="17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38"/>
        </w:trPr>
        <w:tc>
          <w:tcPr>
            <w:tcW w:w="774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Post-Combination Exchangeable Common Shares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712,982</w:t>
            </w:r>
          </w:p>
        </w:tc>
        <w:tc>
          <w:tcPr>
            <w:tcW w:w="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1,019,460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2,685,922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1,833,950</w:t>
            </w:r>
          </w:p>
        </w:tc>
      </w:tr>
      <w:tr>
        <w:trPr>
          <w:trHeight w:val="38"/>
        </w:trPr>
        <w:tc>
          <w:tcPr>
            <w:tcW w:w="7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restricted stock units (“RSUs”)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359,175</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584,590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market stock units (“MSUs”)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602,998</w:t>
            </w:r>
          </w:p>
        </w:tc>
      </w:tr>
      <w:tr>
        <w:trPr>
          <w:trHeight w:val="38"/>
        </w:trPr>
        <w:tc>
          <w:tcPr>
            <w:tcW w:w="7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Public Warrants liability</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724,997</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724,997</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issuable pursuant to Earn Out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725,000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725,000</w:t>
            </w:r>
          </w:p>
        </w:tc>
      </w:tr>
      <w:tr>
        <w:trPr>
          <w:trHeight w:val="38"/>
        </w:trPr>
        <w:tc>
          <w:tcPr>
            <w:tcW w:w="7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Delayed Draw Notes warrants liability</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former Series C and D preferred stock warrants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21,281</w:t>
            </w:r>
          </w:p>
        </w:tc>
      </w:tr>
      <w:tr>
        <w:trPr>
          <w:trHeight w:val="38"/>
        </w:trPr>
        <w:tc>
          <w:tcPr>
            <w:tcW w:w="7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3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available for grant under the Employee Stock Purchase Plan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353,024</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243,646</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available for grant under the 2021 Equity Incentive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569,715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444,388</w:t>
            </w:r>
          </w:p>
        </w:tc>
      </w:tr>
      <w:tr>
        <w:trPr>
          <w:trHeight w:val="38"/>
        </w:trPr>
        <w:tc>
          <w:tcPr>
            <w:tcW w:w="7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available for grant under the 2023 Inducement Equity Incentive Plan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141,800</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7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rPr>
              <w:t>6,985,146</w:t>
            </w:r>
          </w:p>
        </w:tc>
        <w:tc>
          <w:tcPr>
            <w:tcW w:w="80" w:type="dxa"/>
            <w:vAlign w:val="bottom"/>
          </w:tcPr>
          <w:p>
            <w:pPr>
              <w:spacing w:after="0"/>
              <w:rPr>
                <w:sz w:val="21"/>
                <w:szCs w:val="21"/>
                <w:color w:val="auto"/>
              </w:rPr>
            </w:pPr>
          </w:p>
        </w:tc>
        <w:tc>
          <w:tcPr>
            <w:tcW w:w="1720" w:type="dxa"/>
            <w:vAlign w:val="bottom"/>
            <w:tcBorders>
              <w:top w:val="single" w:sz="8" w:color="929292"/>
              <w:bottom w:val="single" w:sz="8" w:color="929292"/>
            </w:tcBorders>
          </w:tcPr>
          <w:p>
            <w:pPr>
              <w:jc w:val="right"/>
              <w:spacing w:after="0"/>
              <w:rPr>
                <w:sz w:val="20"/>
                <w:szCs w:val="20"/>
                <w:color w:val="auto"/>
              </w:rPr>
            </w:pPr>
            <w:r>
              <w:rPr>
                <w:rFonts w:ascii="Times New Roman" w:cs="Times New Roman" w:eastAsia="Times New Roman" w:hAnsi="Times New Roman"/>
                <w:sz w:val="16"/>
                <w:szCs w:val="16"/>
                <w:color w:val="auto"/>
              </w:rPr>
              <w:t>6,324,060</w:t>
            </w:r>
          </w:p>
        </w:tc>
      </w:tr>
      <w:tr>
        <w:trPr>
          <w:trHeight w:val="23"/>
        </w:trPr>
        <w:tc>
          <w:tcPr>
            <w:tcW w:w="7740" w:type="dxa"/>
            <w:vAlign w:val="bottom"/>
          </w:tcPr>
          <w:p>
            <w:pPr>
              <w:spacing w:after="0"/>
              <w:rPr>
                <w:sz w:val="2"/>
                <w:szCs w:val="2"/>
                <w:color w:val="auto"/>
              </w:rPr>
            </w:pPr>
          </w:p>
        </w:tc>
        <w:tc>
          <w:tcPr>
            <w:tcW w:w="1720" w:type="dxa"/>
            <w:vAlign w:val="bottom"/>
            <w:tcBorders>
              <w:bottom w:val="single" w:sz="8" w:color="929292"/>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929292"/>
            </w:tcBorders>
          </w:tcPr>
          <w:p>
            <w:pPr>
              <w:spacing w:after="0"/>
              <w:rPr>
                <w:sz w:val="2"/>
                <w:szCs w:val="2"/>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Equity Incentive Plans and Stock-Based Compensation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Incentive Plans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2013 and 2019 Equity Incentive Plans</w:t>
      </w:r>
      <w:r>
        <w:rPr>
          <w:rFonts w:ascii="Times New Roman" w:cs="Times New Roman" w:eastAsia="Times New Roman" w:hAnsi="Times New Roman"/>
          <w:sz w:val="16"/>
          <w:szCs w:val="16"/>
          <w:color w:val="auto"/>
        </w:rPr>
        <w:t>: Prior to consummation of the Business Combination, Legacy Sonder provided for the grant of stock-based awards to purchase or directly issue shares of common stock to employees, directors, and consultants through its 2013 and 2019 Equity Incentive Plans (the “Legacy Equity Incentive Plans”). Options were granted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8" w:name="page139"/>
    <w:bookmarkEnd w:id="138"/>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at a price per share equal to the fair value of the underlying common stock at the date of grant. Stock options generally had a 10-year contractual term and vest over a four-year period starting from the date specified in each agreement.</w:t>
      </w:r>
    </w:p>
    <w:p>
      <w:pPr>
        <w:spacing w:after="0" w:line="166"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color w:val="auto"/>
        </w:rPr>
        <w:t xml:space="preserve">Each Legacy Sonder stock option from the Legacy Equity Incentive Plans that was outstanding immediately prior to consummation of the Business Combination, whether vested or unvested, was converted into an option to acquire a number of shares of common stock (the “Exchanged Options”) equal to the product of: (i) the number of shares of Legacy Sonder common stock subject to such Legacy Sonder option immediately prior to consummation of the Business Combination; and (ii) the recapitalization option exchange ratio, as discussed in Note 16,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The Exchanged Options are exercisable at an exercise price per share equal to:</w:t>
      </w:r>
    </w:p>
    <w:p>
      <w:pPr>
        <w:spacing w:after="0" w:line="2" w:lineRule="exact"/>
        <w:rPr>
          <w:sz w:val="20"/>
          <w:szCs w:val="20"/>
          <w:color w:val="auto"/>
        </w:rPr>
      </w:pPr>
    </w:p>
    <w:p>
      <w:pPr>
        <w:jc w:val="both"/>
        <w:ind w:left="2" w:hanging="2"/>
        <w:spacing w:after="0" w:line="260" w:lineRule="auto"/>
        <w:tabs>
          <w:tab w:leader="none" w:pos="19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price per share of such Legacy Sonder option immediately prior to consummation of the Business Combination; divided by (ii) the recapitalization exchange ratio. Except as specifically provided in the Merger Agreement (as defined in Note 16,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following the Business Combination, each Exchanged Option will continue to be governed by the same terms and conditions as were applicable to the corresponding former Legacy Sonder option immediately prior to the Business Combination. All stock option activity was retroactively restated to reflect the Exchanged Options.</w:t>
      </w:r>
    </w:p>
    <w:p>
      <w:pPr>
        <w:spacing w:after="0" w:line="191"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Sonder Holdings Inc. 2021 Management Equity Incentive Plan</w:t>
      </w:r>
      <w:r>
        <w:rPr>
          <w:rFonts w:ascii="Times New Roman" w:cs="Times New Roman" w:eastAsia="Times New Roman" w:hAnsi="Times New Roman"/>
          <w:sz w:val="16"/>
          <w:szCs w:val="16"/>
          <w:color w:val="auto"/>
        </w:rPr>
        <w:t xml:space="preserve">: In connection with the Business Combination, GMII’s stockholders approved the 2021 Management Equity Incentive Plan (the “2021 Management Equity Incentive Plan”). Employees, including directors and officers, and consultants who receive awards under the 2021 Management Equity Incentive Plan may receive their pro-rata share of awards up to an aggregate of 725,000 shares of common stock that will vest upon the common stock achieving certain benchmark share prices as contemplated by the Merger Agreement (as defined in Note 16,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xml:space="preserve">). If these benchmark share prices are not achieved within the period specified in the Merger Agreement (as defined in Note 16,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the unvested awards will not be issued.</w:t>
      </w:r>
    </w:p>
    <w:p>
      <w:pPr>
        <w:spacing w:after="0" w:line="188"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u w:val="single" w:color="auto"/>
          <w:color w:val="auto"/>
        </w:rPr>
        <w:t>Sonder Holdings Inc. 2021 Equity Incentive Plan</w:t>
      </w:r>
      <w:r>
        <w:rPr>
          <w:rFonts w:ascii="Times New Roman" w:cs="Times New Roman" w:eastAsia="Times New Roman" w:hAnsi="Times New Roman"/>
          <w:sz w:val="16"/>
          <w:szCs w:val="16"/>
          <w:color w:val="auto"/>
        </w:rPr>
        <w:t>: In connection with the Business Combination, GMII’s stockholders approved the 2021 Equity Incentive Plan (the “2021 Equity Incentive Plan”). The 2021 Equity Incentive Plan became effective upon consummation of the Business Combination and succeeds the Legacy Equity Incentive Plans. Under the 2021 Equity Incentive Plan, the Company may grant options, stock appreciation rights, restricted stock, RSUs, and performance awards to employees, directors, and consultants. Options are granted at a price per share equal to the fair value of the underlying common stock at the date of grant. Options granted are exercisable over a maximum term of 10 years from the date of grant. RSUs typically have a cliff vesting period of one year and continue to vest quarterly thereafter. The Company is authorized to issue up to 1,300,119 shares under this plan, of which 569,715 shares remain available for future grants at December 31, 2023.</w:t>
      </w:r>
    </w:p>
    <w:p>
      <w:pPr>
        <w:spacing w:after="0" w:line="191"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The total number of shares that may be issued under the 2021 Equity Incentive Plan will automatically increase on the first trading day of each calendar year, which began in calendar year 2022, by a number of shares equal to the lesser of: (i) 1,641,008 shares; (ii) 12.5% of the total number of shares outstanding as of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five percent (5.0%) of the total number of shares outstanding on the last day of the immediately preceding fiscal year; and (iv) a lesser number of shares determined by the administrator.</w:t>
      </w:r>
    </w:p>
    <w:p>
      <w:pPr>
        <w:spacing w:after="0" w:line="191"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u w:val="single" w:color="auto"/>
          <w:color w:val="auto"/>
        </w:rPr>
        <w:t>Sonder Holdings Inc. 2021 Employee Stock Purchase Plan</w:t>
      </w:r>
      <w:r>
        <w:rPr>
          <w:rFonts w:ascii="Times New Roman" w:cs="Times New Roman" w:eastAsia="Times New Roman" w:hAnsi="Times New Roman"/>
          <w:sz w:val="16"/>
          <w:szCs w:val="16"/>
          <w:color w:val="auto"/>
        </w:rPr>
        <w:t>: In connection with the Business Combination, GMII’s stockholders approved the 2021 Employee Stock Purchase Plan (the “ESPP”). The ESPP allows eligible employees to purchase shares of the Company’s common stock at 85.0% of stock price on the first trading day of the offering period or on the last day of the offering period, whichever is lower. Employees can contribute up to 15.0% of their eligible compensation to purchase shares. The ESPP provides for either (i) 27-month offering period, or (ii) such shorter period as may be established by the administrator from time to time. The Company is authorized to issue up to 353,024 shares under the ESPP, all of which remain available for future issuance as of December 31,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number of shares of common stock available for issuance under the ESPP will automatically be increased on the first day of each fiscal year, which began in calendar year 2022 and ends in the 2041 fiscal year, equal to the least of: (i) 328,202 shares of common stock; (ii) 2.5% of the total number of shares of common stock outstanding immediately following consummation of the Business Combination (including the number of shares of common stock reserved for issuance upon the exchange of Canadian Exchangeable Shares (as defined in the Merger Agreement) issued in the Sonder Canada Share Capital Reorganization (as defined in the Merger Agreement) corresponding to shares of Company special voting stock to be issued immediately following consummation of the Business Combination); (iii) one percent (0.1%) of the outstanding shares of Common Stock on the last day of the immediately preceding fiscal year; or (iv) a lesser number of shares determined by the administrator.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Option Repricing</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December 1, 2022 (the “Repricing Date”), the Company closed an offer to reprice certain eligible stock options, whether vested or unvested, with modified vesting terms such that all previously vested options became unvested on the Repricing Date. As a result of the repricing, the exercise price for a total of 1,014,631 options was reduced to $34.80 per share, or the closing price of the Company’s common stock on the Repricing Date. As a result of the repricing, total incremental expense to be recognized over the remaining requisite service period of the repriced options, beginning at the Repricing Date, was determined to be $8.4 million.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 is as follows (in thousands):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5"/>
        </w:trPr>
        <w:tc>
          <w:tcPr>
            <w:tcW w:w="5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38"/>
        </w:trPr>
        <w:tc>
          <w:tcPr>
            <w:tcW w:w="57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2023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support</w:t>
            </w: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20,835</w:t>
            </w:r>
          </w:p>
        </w:tc>
      </w:tr>
      <w:tr>
        <w:trPr>
          <w:trHeight w:val="38"/>
        </w:trPr>
        <w:tc>
          <w:tcPr>
            <w:tcW w:w="5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38"/>
        </w:trPr>
        <w:tc>
          <w:tcPr>
            <w:tcW w:w="5760" w:type="dxa"/>
            <w:vAlign w:val="bottom"/>
            <w:tcBorders>
              <w:bottom w:val="single" w:sz="8" w:color="CCEEFF"/>
            </w:tcBorders>
          </w:tcPr>
          <w:p>
            <w:pPr>
              <w:spacing w:after="0"/>
              <w:rPr>
                <w:sz w:val="3"/>
                <w:szCs w:val="3"/>
                <w:color w:val="auto"/>
              </w:rPr>
            </w:pPr>
          </w:p>
        </w:tc>
        <w:tc>
          <w:tcPr>
            <w:tcW w:w="1140" w:type="dxa"/>
            <w:vAlign w:val="bottom"/>
            <w:tcBorders>
              <w:bottom w:val="single" w:sz="8" w:color="929292"/>
            </w:tcBorders>
          </w:tcPr>
          <w:p>
            <w:pPr>
              <w:spacing w:after="0"/>
              <w:rPr>
                <w:sz w:val="3"/>
                <w:szCs w:val="3"/>
                <w:color w:val="auto"/>
              </w:rPr>
            </w:pPr>
          </w:p>
        </w:tc>
        <w:tc>
          <w:tcPr>
            <w:tcW w:w="620" w:type="dxa"/>
            <w:vAlign w:val="bottom"/>
            <w:tcBorders>
              <w:bottom w:val="single" w:sz="8" w:color="929292"/>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1360" w:type="dxa"/>
            <w:vAlign w:val="bottom"/>
            <w:tcBorders>
              <w:bottom w:val="single" w:sz="8" w:color="929292"/>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929292"/>
            </w:tcBorders>
          </w:tcPr>
          <w:p>
            <w:pPr>
              <w:spacing w:after="0"/>
              <w:rPr>
                <w:sz w:val="3"/>
                <w:szCs w:val="3"/>
                <w:color w:val="auto"/>
              </w:rPr>
            </w:pPr>
          </w:p>
        </w:tc>
        <w:tc>
          <w:tcPr>
            <w:tcW w:w="1380" w:type="dxa"/>
            <w:vAlign w:val="bottom"/>
            <w:tcBorders>
              <w:bottom w:val="single" w:sz="8" w:color="929292"/>
            </w:tcBorders>
          </w:tcPr>
          <w:p>
            <w:pPr>
              <w:spacing w:after="0"/>
              <w:rPr>
                <w:sz w:val="3"/>
                <w:szCs w:val="3"/>
                <w:color w:val="auto"/>
              </w:rPr>
            </w:pPr>
          </w:p>
        </w:tc>
      </w:tr>
      <w:tr>
        <w:trPr>
          <w:trHeight w:val="268"/>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40" w:type="dxa"/>
            <w:vAlign w:val="bottom"/>
            <w:tcBorders>
              <w:bottom w:val="single" w:sz="8" w:color="929292"/>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929292"/>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929292"/>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929292"/>
            </w:tcBorders>
          </w:tcPr>
          <w:p>
            <w:pPr>
              <w:spacing w:after="0" w:line="20" w:lineRule="exact"/>
              <w:rPr>
                <w:sz w:val="1"/>
                <w:szCs w:val="1"/>
                <w:color w:val="auto"/>
              </w:rPr>
            </w:pPr>
          </w:p>
        </w:tc>
        <w:tc>
          <w:tcPr>
            <w:tcW w:w="62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929292"/>
            </w:tcBorders>
          </w:tcPr>
          <w:p>
            <w:pPr>
              <w:spacing w:after="0" w:line="20" w:lineRule="exact"/>
              <w:rPr>
                <w:sz w:val="1"/>
                <w:szCs w:val="1"/>
                <w:color w:val="auto"/>
              </w:rPr>
            </w:pPr>
          </w:p>
        </w:tc>
        <w:tc>
          <w:tcPr>
            <w:tcW w:w="136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929292"/>
            </w:tcBorders>
          </w:tcPr>
          <w:p>
            <w:pPr>
              <w:spacing w:after="0" w:line="20" w:lineRule="exact"/>
              <w:rPr>
                <w:sz w:val="1"/>
                <w:szCs w:val="1"/>
                <w:color w:val="auto"/>
              </w:rPr>
            </w:pPr>
          </w:p>
        </w:tc>
        <w:tc>
          <w:tcPr>
            <w:tcW w:w="1380" w:type="dxa"/>
            <w:vAlign w:val="bottom"/>
            <w:tcBorders>
              <w:top w:val="single" w:sz="8" w:color="CCEEFF"/>
              <w:bottom w:val="single" w:sz="8" w:color="929292"/>
            </w:tcBorders>
          </w:tcPr>
          <w:p>
            <w:pPr>
              <w:spacing w:after="0" w:line="20" w:lineRule="exact"/>
              <w:rPr>
                <w:sz w:val="1"/>
                <w:szCs w:val="1"/>
                <w:color w:val="auto"/>
              </w:rPr>
            </w:pPr>
          </w:p>
        </w:tc>
      </w:tr>
    </w:tbl>
    <w:p>
      <w:pPr>
        <w:spacing w:after="0" w:line="29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6"/>
          <w:szCs w:val="16"/>
          <w:u w:val="single" w:color="auto"/>
          <w:color w:val="auto"/>
        </w:rPr>
        <w:t>Stock Options</w:t>
      </w:r>
      <w:r>
        <w:rPr>
          <w:rFonts w:ascii="Times New Roman" w:cs="Times New Roman" w:eastAsia="Times New Roman" w:hAnsi="Times New Roman"/>
          <w:sz w:val="16"/>
          <w:szCs w:val="16"/>
          <w:color w:val="auto"/>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years ended December 31, 2023, 2022, and 2021 the Company recorded stock-based compensation expense from stock options of approximately $19.7 million, $15.7 million, and $13.6 million, respectively.</w:t>
      </w:r>
    </w:p>
    <w:p>
      <w:pPr>
        <w:spacing w:after="0" w:line="185"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The Company recognizes only the portion of the option award granted that is ultimately expected to vest as compensation expense and elects to recognize gross share-based compensation expense with actual forfeitures as they occur.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Fair Value of Stock Options</w:t>
      </w:r>
      <w:r>
        <w:rPr>
          <w:rFonts w:ascii="Times New Roman" w:cs="Times New Roman" w:eastAsia="Times New Roman" w:hAnsi="Times New Roman"/>
          <w:sz w:val="16"/>
          <w:szCs w:val="16"/>
          <w:color w:val="auto"/>
        </w:rPr>
        <w:t>: The fair value of each stock option award is estimated using the Black-Scholes option-pricing model, which uses the fair value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common stock and requires the input of the following subjective assumptions:</w:t>
      </w:r>
    </w:p>
    <w:p>
      <w:pPr>
        <w:spacing w:after="0" w:line="215" w:lineRule="exact"/>
        <w:rPr>
          <w:sz w:val="20"/>
          <w:szCs w:val="20"/>
          <w:color w:val="auto"/>
        </w:rPr>
      </w:pPr>
    </w:p>
    <w:p>
      <w:pPr>
        <w:ind w:left="580" w:right="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The expected term for options granted to employees, officers, and directors is based on the historical pattern of option exercise behavior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they are expected to be outstanding.</w:t>
      </w:r>
    </w:p>
    <w:p>
      <w:pPr>
        <w:spacing w:after="0" w:line="163" w:lineRule="exact"/>
        <w:rPr>
          <w:sz w:val="20"/>
          <w:szCs w:val="20"/>
          <w:color w:val="auto"/>
        </w:rPr>
      </w:pPr>
    </w:p>
    <w:p>
      <w:pPr>
        <w:ind w:left="580" w:right="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Expected volatility. </w:t>
      </w:r>
      <w:r>
        <w:rPr>
          <w:rFonts w:ascii="Times New Roman" w:cs="Times New Roman" w:eastAsia="Times New Roman" w:hAnsi="Times New Roman"/>
          <w:sz w:val="16"/>
          <w:szCs w:val="16"/>
          <w:color w:val="auto"/>
        </w:rPr>
        <w:t>The expected volatility is based on the average volatility of similar public entities within the Company’s peer group as the Company’s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not been publicly trading for a long enough period to rely on its own expected volatility.</w:t>
      </w:r>
    </w:p>
    <w:p>
      <w:pPr>
        <w:spacing w:after="0" w:line="163" w:lineRule="exact"/>
        <w:rPr>
          <w:sz w:val="20"/>
          <w:szCs w:val="20"/>
          <w:color w:val="auto"/>
        </w:rPr>
      </w:pPr>
    </w:p>
    <w:p>
      <w:pPr>
        <w:ind w:left="580" w:right="20"/>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Expected Dividends. </w:t>
      </w:r>
      <w:r>
        <w:rPr>
          <w:rFonts w:ascii="Times New Roman" w:cs="Times New Roman" w:eastAsia="Times New Roman" w:hAnsi="Times New Roman"/>
          <w:sz w:val="16"/>
          <w:szCs w:val="16"/>
          <w:color w:val="auto"/>
        </w:rPr>
        <w:t>The dividend assumption is based on the Company’s historical experience. To date, Company has not paid any dividends on its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w:t>
      </w:r>
    </w:p>
    <w:p>
      <w:pPr>
        <w:spacing w:after="0" w:line="200" w:lineRule="exact"/>
        <w:rPr>
          <w:sz w:val="20"/>
          <w:szCs w:val="20"/>
          <w:color w:val="auto"/>
        </w:rPr>
      </w:pPr>
    </w:p>
    <w:p>
      <w:pPr>
        <w:spacing w:after="0" w:line="208" w:lineRule="exact"/>
        <w:rPr>
          <w:sz w:val="20"/>
          <w:szCs w:val="20"/>
          <w:color w:val="auto"/>
        </w:rPr>
      </w:pPr>
    </w:p>
    <w:p>
      <w:pPr>
        <w:ind w:left="580" w:right="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Risk-Free Interest Rate. </w:t>
      </w:r>
      <w:r>
        <w:rPr>
          <w:rFonts w:ascii="Times New Roman" w:cs="Times New Roman" w:eastAsia="Times New Roman" w:hAnsi="Times New Roman"/>
          <w:sz w:val="16"/>
          <w:szCs w:val="16"/>
          <w:color w:val="auto"/>
        </w:rPr>
        <w:t>The risk-free interest rate used in the valuation is the implied yield currently available on the United States Treasury zero-coupon issues,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 remaining term equal to the expected life term of the Company’s options.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following table summarizes the key assumptions used to determine the fair value of the Company’s stock options granted to employees, non-employees, officers, and directors: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Year ended December 31,</w:t>
            </w:r>
          </w:p>
        </w:tc>
        <w:tc>
          <w:tcPr>
            <w:tcW w:w="1880" w:type="dxa"/>
            <w:vAlign w:val="bottom"/>
          </w:tcPr>
          <w:p>
            <w:pPr>
              <w:spacing w:after="0"/>
              <w:rPr>
                <w:sz w:val="18"/>
                <w:szCs w:val="18"/>
                <w:color w:val="auto"/>
              </w:rPr>
            </w:pPr>
          </w:p>
        </w:tc>
      </w:tr>
      <w:tr>
        <w:trPr>
          <w:trHeight w:val="38"/>
        </w:trPr>
        <w:tc>
          <w:tcPr>
            <w:tcW w:w="552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12"/>
        </w:trPr>
        <w:tc>
          <w:tcPr>
            <w:tcW w:w="5520" w:type="dxa"/>
            <w:vAlign w:val="bottom"/>
          </w:tcPr>
          <w:p>
            <w:pPr>
              <w:spacing w:after="0"/>
              <w:rPr>
                <w:sz w:val="18"/>
                <w:szCs w:val="18"/>
                <w:color w:val="auto"/>
              </w:rPr>
            </w:pPr>
          </w:p>
        </w:tc>
        <w:tc>
          <w:tcPr>
            <w:tcW w:w="184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184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1880" w:type="dxa"/>
            <w:vAlign w:val="bottom"/>
          </w:tcPr>
          <w:p>
            <w:pPr>
              <w:jc w:val="right"/>
              <w:ind w:right="69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52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2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6.09 - 6.22</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4.09 - 6.25</w:t>
            </w:r>
          </w:p>
        </w:tc>
        <w:tc>
          <w:tcPr>
            <w:tcW w:w="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3.99 - 4.02</w:t>
            </w: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 - 51.2%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- 55.4%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 - 64.2%</w:t>
            </w:r>
          </w:p>
        </w:tc>
      </w:tr>
      <w:tr>
        <w:trPr>
          <w:trHeight w:val="38"/>
        </w:trPr>
        <w:tc>
          <w:tcPr>
            <w:tcW w:w="5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 - 4.40%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- 4.34%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 - 1.00%</w:t>
            </w:r>
          </w:p>
        </w:tc>
      </w:tr>
      <w:tr>
        <w:trPr>
          <w:trHeight w:val="38"/>
        </w:trPr>
        <w:tc>
          <w:tcPr>
            <w:tcW w:w="5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grant-date fair value per share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 $13.69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$17.40 - $42.60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$90.80 - $131.80</w:t>
            </w:r>
          </w:p>
        </w:tc>
      </w:tr>
      <w:tr>
        <w:trPr>
          <w:trHeight w:val="38"/>
        </w:trPr>
        <w:tc>
          <w:tcPr>
            <w:tcW w:w="55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Option activity under the Company’s equity incentive plans is as follows (in thousands, except share data, and term in years):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4"/>
          </w:tcPr>
          <w:p>
            <w:pPr>
              <w:ind w:left="760"/>
              <w:spacing w:after="0"/>
              <w:rPr>
                <w:sz w:val="20"/>
                <w:szCs w:val="20"/>
                <w:color w:val="auto"/>
              </w:rPr>
            </w:pPr>
            <w:r>
              <w:rPr>
                <w:rFonts w:ascii="Times New Roman" w:cs="Times New Roman" w:eastAsia="Times New Roman" w:hAnsi="Times New Roman"/>
                <w:sz w:val="16"/>
                <w:szCs w:val="16"/>
                <w:color w:val="auto"/>
              </w:rPr>
              <w:t>Options Outstanding</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Weighted-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Weighted-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Remaining</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Number of</w:t>
            </w: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Exercise Price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Contractual</w:t>
            </w:r>
          </w:p>
        </w:tc>
        <w:tc>
          <w:tcPr>
            <w:tcW w:w="200" w:type="dxa"/>
            <w:vAlign w:val="bottom"/>
          </w:tcPr>
          <w:p>
            <w:pPr>
              <w:spacing w:after="0"/>
              <w:rPr>
                <w:sz w:val="18"/>
                <w:szCs w:val="18"/>
                <w:color w:val="auto"/>
              </w:rPr>
            </w:pPr>
          </w:p>
        </w:tc>
        <w:tc>
          <w:tcPr>
            <w:tcW w:w="140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Aggregate</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Options</w:t>
            </w:r>
          </w:p>
        </w:tc>
        <w:tc>
          <w:tcPr>
            <w:tcW w:w="2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per Option</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Term</w:t>
            </w:r>
          </w:p>
        </w:tc>
        <w:tc>
          <w:tcPr>
            <w:tcW w:w="200" w:type="dxa"/>
            <w:vAlign w:val="bottom"/>
          </w:tcPr>
          <w:p>
            <w:pPr>
              <w:spacing w:after="0"/>
              <w:rPr>
                <w:sz w:val="18"/>
                <w:szCs w:val="18"/>
                <w:color w:val="auto"/>
              </w:rPr>
            </w:pPr>
          </w:p>
        </w:tc>
        <w:tc>
          <w:tcPr>
            <w:tcW w:w="1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Intrinsic Value</w:t>
            </w:r>
          </w:p>
        </w:tc>
        <w:tc>
          <w:tcPr>
            <w:tcW w:w="0" w:type="dxa"/>
            <w:vAlign w:val="bottom"/>
          </w:tcPr>
          <w:p>
            <w:pPr>
              <w:spacing w:after="0"/>
              <w:rPr>
                <w:sz w:val="1"/>
                <w:szCs w:val="1"/>
                <w:color w:val="auto"/>
              </w:rPr>
            </w:pPr>
          </w:p>
        </w:tc>
      </w:tr>
      <w:tr>
        <w:trPr>
          <w:trHeight w:val="38"/>
        </w:trPr>
        <w:tc>
          <w:tcPr>
            <w:tcW w:w="4660" w:type="dxa"/>
            <w:vAlign w:val="bottom"/>
            <w:tcBorders>
              <w:bottom w:val="single" w:sz="8" w:color="CCEEFF"/>
            </w:tcBorders>
          </w:tcPr>
          <w:p>
            <w:pPr>
              <w:spacing w:after="0"/>
              <w:rPr>
                <w:sz w:val="3"/>
                <w:szCs w:val="3"/>
                <w:color w:val="auto"/>
              </w:rPr>
            </w:pPr>
          </w:p>
        </w:tc>
        <w:tc>
          <w:tcPr>
            <w:tcW w:w="1580" w:type="dxa"/>
            <w:vAlign w:val="bottom"/>
            <w:tcBorders>
              <w:bottom w:val="single" w:sz="8" w:color="929292"/>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929292"/>
            </w:tcBorders>
          </w:tcPr>
          <w:p>
            <w:pPr>
              <w:spacing w:after="0"/>
              <w:rPr>
                <w:sz w:val="3"/>
                <w:szCs w:val="3"/>
                <w:color w:val="auto"/>
              </w:rPr>
            </w:pPr>
          </w:p>
        </w:tc>
        <w:tc>
          <w:tcPr>
            <w:tcW w:w="1380" w:type="dxa"/>
            <w:vAlign w:val="bottom"/>
            <w:tcBorders>
              <w:bottom w:val="single" w:sz="8" w:color="929292"/>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929292"/>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929292"/>
            </w:tcBorders>
          </w:tcPr>
          <w:p>
            <w:pPr>
              <w:spacing w:after="0"/>
              <w:rPr>
                <w:sz w:val="3"/>
                <w:szCs w:val="3"/>
                <w:color w:val="auto"/>
              </w:rPr>
            </w:pPr>
          </w:p>
        </w:tc>
        <w:tc>
          <w:tcPr>
            <w:tcW w:w="1400" w:type="dxa"/>
            <w:vAlign w:val="bottom"/>
            <w:tcBorders>
              <w:bottom w:val="single" w:sz="8" w:color="929292"/>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1,535,342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107,556</w:t>
            </w:r>
          </w:p>
        </w:tc>
        <w:tc>
          <w:tcPr>
            <w:tcW w:w="0" w:type="dxa"/>
            <w:vAlign w:val="bottom"/>
          </w:tcPr>
          <w:p>
            <w:pPr>
              <w:spacing w:after="0"/>
              <w:rPr>
                <w:sz w:val="1"/>
                <w:szCs w:val="1"/>
                <w:color w:val="auto"/>
              </w:rPr>
            </w:pPr>
          </w:p>
        </w:tc>
      </w:tr>
      <w:tr>
        <w:trPr>
          <w:trHeight w:val="219"/>
        </w:trPr>
        <w:tc>
          <w:tcPr>
            <w:tcW w:w="4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629,215</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(257,030)</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103.60</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Canceled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1,833,950</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1,301,035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Canceled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(142,806)</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2,685,923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As of December 31,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vested and exercisable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975,987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2,685,923</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weighted-average grant-date fair value of options granted during the year ended December 31, 2023 was $6.13. The weighted-average grant-date fair value of options granted during the years ended December 31, 2022 and 2021 was $18.60 and $99.80, prior to application of the recapitalization exchange ratio discussed above. The total intrinsic value of options exercised during the year ended December 31, 2023 was de minimis. The total intrinsic value of options exercised during the years ended December 31, 2022 and 2021 was $2.7 million, and $14.5 million,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Performance and Market-Based Equity Awards</w:t>
      </w:r>
      <w:r>
        <w:rPr>
          <w:rFonts w:ascii="Times New Roman" w:cs="Times New Roman" w:eastAsia="Times New Roman" w:hAnsi="Times New Roman"/>
          <w:sz w:val="16"/>
          <w:szCs w:val="16"/>
          <w:color w:val="auto"/>
        </w:rPr>
        <w:t>:</w:t>
      </w:r>
    </w:p>
    <w:p>
      <w:pPr>
        <w:spacing w:after="0" w:line="2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2019 CEO Option Award. On November 15, 2023, the Legacy Sonder Board of Directors (the “Legacy Sonder Board”) granted an award to Francis Davidson, the Company’s Chief Executive Officer (“CEO”), for a total of 280,664 options (the “2019 CEO Option Award”), which Mr. Davidson exercised in full in December 2020, with a promissory note payable to the Company in the amount of $24.6 million (the “Promissory Note”). 102,059 of these options vest in 72 equal monthly installments starting as of October 1, 2017 (the “Service-Based Options”), subject to Mr. Davidson’s continuous employment with the Company, and 178,604 options are performance-based and vest upon completion of certain performance milestones, subject to Mr. Davidson’s continuous employment with the Company. 127,573 of the performance-based options were modified during the year ended December 31, 2021 and, as a result, vested in full, while the remaining 51,029 performance-based awards vest upon the Company achieving a certain market capitalization milestone (the “Market Capitalization Condition”).</w:t>
      </w:r>
    </w:p>
    <w:p>
      <w:pPr>
        <w:spacing w:after="0" w:line="189" w:lineRule="exact"/>
        <w:rPr>
          <w:sz w:val="20"/>
          <w:szCs w:val="20"/>
          <w:color w:val="auto"/>
        </w:rPr>
      </w:pPr>
    </w:p>
    <w:p>
      <w:pPr>
        <w:jc w:val="both"/>
        <w:ind w:left="58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The Promissory Note. </w:t>
      </w:r>
      <w:r>
        <w:rPr>
          <w:rFonts w:ascii="Times New Roman" w:cs="Times New Roman" w:eastAsia="Times New Roman" w:hAnsi="Times New Roman"/>
          <w:sz w:val="16"/>
          <w:szCs w:val="16"/>
          <w:color w:val="auto"/>
        </w:rPr>
        <w:t>The Promissory Note discussed above bore interest at the rate of 2.0% per annum, compounding semiannually. The principal amounts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accrued interest were due upon the consummation of the Business Combination. On January 14, 2022, the aggregate outstanding principal amount and interest under the Promissory Note was repaid in full as a result of Mr. Davidson selling 92,797 shares of Legacy Sonder common stock to the Company at a repurchase price of $277 per Legacy Sonder common share (number of shares and amount per share is not adjusted for the application of the recapitalization exchange ratio discussed above), which was equal to the fair value of a share of Legacy Sonder common stock as of the repurchase date, for a total aggregate repurchase price of $25.7 million.</w:t>
      </w:r>
    </w:p>
    <w:p>
      <w:pPr>
        <w:spacing w:after="0" w:line="384" w:lineRule="exact"/>
        <w:rPr>
          <w:sz w:val="20"/>
          <w:szCs w:val="20"/>
          <w:color w:val="auto"/>
        </w:rPr>
      </w:pPr>
    </w:p>
    <w:p>
      <w:pPr>
        <w:jc w:val="both"/>
        <w:ind w:left="580" w:right="2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The Service-Based Options. </w:t>
      </w:r>
      <w:r>
        <w:rPr>
          <w:rFonts w:ascii="Times New Roman" w:cs="Times New Roman" w:eastAsia="Times New Roman" w:hAnsi="Times New Roman"/>
          <w:sz w:val="16"/>
          <w:szCs w:val="16"/>
          <w:color w:val="auto"/>
        </w:rPr>
        <w:t>The fair value of the Service-Based Options was estimated using the Black-Scholes option pricing model. The grant date fair value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awards was $3.2 million and was recognized on a straight-line basis over the term of the award.</w:t>
      </w:r>
    </w:p>
    <w:p>
      <w:pPr>
        <w:spacing w:after="0" w:line="163" w:lineRule="exact"/>
        <w:rPr>
          <w:sz w:val="20"/>
          <w:szCs w:val="20"/>
          <w:color w:val="auto"/>
        </w:rPr>
      </w:pPr>
    </w:p>
    <w:p>
      <w:pPr>
        <w:jc w:val="both"/>
        <w:ind w:left="580" w:right="20"/>
        <w:spacing w:after="0" w:line="259" w:lineRule="auto"/>
        <w:rPr>
          <w:sz w:val="20"/>
          <w:szCs w:val="20"/>
          <w:color w:val="auto"/>
        </w:rPr>
      </w:pPr>
      <w:r>
        <w:rPr>
          <w:rFonts w:ascii="Times New Roman" w:cs="Times New Roman" w:eastAsia="Times New Roman" w:hAnsi="Times New Roman"/>
          <w:sz w:val="16"/>
          <w:szCs w:val="16"/>
          <w:i w:val="1"/>
          <w:iCs w:val="1"/>
          <w:color w:val="auto"/>
        </w:rPr>
        <w:t>2021 Modification of the 2019 CEO Option Award</w:t>
      </w:r>
      <w:r>
        <w:rPr>
          <w:rFonts w:ascii="Times New Roman" w:cs="Times New Roman" w:eastAsia="Times New Roman" w:hAnsi="Times New Roman"/>
          <w:sz w:val="16"/>
          <w:szCs w:val="16"/>
          <w:color w:val="auto"/>
        </w:rPr>
        <w:t>. During the three months ended March 31, 2021, the CEO Performance Awards were modified to accelerate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of the IPO Condition and the Qualified Financing Condition because the Legacy Sonder Board desired to reward Mr. Davidson in leading the Company to perform above expectations given the economic impact of the COVID-19 pandemic, especially in the hospitality sector, and additionally, engaging the Company in potential strategic transactions which resulted in increased company valuations. While the vesting of the options under the Market Capitalization Condition were not accelerated by the Legacy Sonder Board, the Legacy Sonder Board approved a resolution clarifying that the Market Capitalization Condition would be eligible to vest in connection with a business combination with a special purpose acquisition company that otherwise achieves the applicable Market Capitalization Condition using an equivalent share price rather than the market capitalization. The modification-date fair values of the CEO Performance Awards was estimated using a Monte Carlo simulation. The Monte Carlo simulation utilizes multiple input variables to estimate the probability that performance conditions will be achieved. These variables include the Company’s expected stock price volatility over the expected term of the award, historical and projected employee stock option exercise behaviors, and the risk-free interest rate for the expected term of the award. The Company recognizes compensation expense for its performance awards using an accelerated attribution method from the time it is deemed probable that the vesting condition will be met through the time the service-based vesting condition has been achieved.</w:t>
      </w:r>
    </w:p>
    <w:p>
      <w:pPr>
        <w:spacing w:after="0" w:line="365" w:lineRule="exact"/>
        <w:rPr>
          <w:sz w:val="20"/>
          <w:szCs w:val="20"/>
          <w:color w:val="auto"/>
        </w:rPr>
      </w:pPr>
    </w:p>
    <w:p>
      <w:pPr>
        <w:jc w:val="both"/>
        <w:ind w:left="580" w:right="20"/>
        <w:spacing w:after="0" w:line="264" w:lineRule="auto"/>
        <w:rPr>
          <w:sz w:val="20"/>
          <w:szCs w:val="20"/>
          <w:color w:val="auto"/>
        </w:rPr>
      </w:pPr>
      <w:r>
        <w:rPr>
          <w:rFonts w:ascii="Times New Roman" w:cs="Times New Roman" w:eastAsia="Times New Roman" w:hAnsi="Times New Roman"/>
          <w:sz w:val="16"/>
          <w:szCs w:val="16"/>
          <w:color w:val="auto"/>
        </w:rPr>
        <w:t>The Company recognized $11.6 million in expense related to the acceleration of the IPO Condition and the Qualified Financing Condition during the year ended December 31, 2021, and did not recognize expense related to the IPO Condition or Qualified Financing Condition during the year ended December 31, 2023 and 2022. Additionally, during the year ended December 31, 2023 and 2022, the Company recognized $1.0 million and $1.5 million in stock-based compensation expense related to the vesting of the Market Capitalization Condition. The Company did not recognize expense related to the vesting of the Market Capitalization Condition during the year ended December 31, 2021.</w:t>
      </w:r>
    </w:p>
    <w:p>
      <w:pPr>
        <w:spacing w:after="0" w:line="186" w:lineRule="exact"/>
        <w:rPr>
          <w:sz w:val="20"/>
          <w:szCs w:val="20"/>
          <w:color w:val="auto"/>
        </w:rPr>
      </w:pPr>
    </w:p>
    <w:p>
      <w:pPr>
        <w:jc w:val="both"/>
        <w:ind w:left="580" w:right="20"/>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The 2021 CEO Option Award. </w:t>
      </w:r>
      <w:r>
        <w:rPr>
          <w:rFonts w:ascii="Times New Roman" w:cs="Times New Roman" w:eastAsia="Times New Roman" w:hAnsi="Times New Roman"/>
          <w:sz w:val="16"/>
          <w:szCs w:val="16"/>
          <w:color w:val="auto"/>
        </w:rPr>
        <w:t>On February 18, 2021, the Legacy Sonder Board granted a total of 3,061,794 options to Mr. Davidson (the “2021 CEO Option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The options vest upon the successful consummation of the Business Combination and upon certain share price milestones, subject to Mr. Davidson’s continuous employment at the Company during each such event. The Company recognized $0.9 million and $2.2 million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580" w:right="20"/>
        <w:spacing w:after="0" w:line="291" w:lineRule="auto"/>
        <w:rPr>
          <w:sz w:val="20"/>
          <w:szCs w:val="20"/>
          <w:color w:val="auto"/>
        </w:rPr>
      </w:pPr>
      <w:r>
        <w:rPr>
          <w:rFonts w:ascii="Times New Roman" w:cs="Times New Roman" w:eastAsia="Times New Roman" w:hAnsi="Times New Roman"/>
          <w:sz w:val="16"/>
          <w:szCs w:val="16"/>
          <w:color w:val="auto"/>
        </w:rPr>
        <w:t>expense related to the 2021 CEO Option Award during the years ended December 31, 2023 and 2022, respectively, and did not recognize expense related to the 2021 CEO Option Award during the year ended 2021.</w:t>
      </w:r>
    </w:p>
    <w:p>
      <w:pPr>
        <w:spacing w:after="0" w:line="166" w:lineRule="exact"/>
        <w:rPr>
          <w:sz w:val="20"/>
          <w:szCs w:val="20"/>
          <w:color w:val="auto"/>
        </w:rPr>
      </w:pPr>
    </w:p>
    <w:p>
      <w:pPr>
        <w:jc w:val="both"/>
        <w:ind w:left="580" w:right="20"/>
        <w:spacing w:after="0" w:line="291" w:lineRule="auto"/>
        <w:rPr>
          <w:sz w:val="20"/>
          <w:szCs w:val="20"/>
          <w:color w:val="auto"/>
        </w:rPr>
      </w:pPr>
      <w:r>
        <w:rPr>
          <w:rFonts w:ascii="Times New Roman" w:cs="Times New Roman" w:eastAsia="Times New Roman" w:hAnsi="Times New Roman"/>
          <w:sz w:val="16"/>
          <w:szCs w:val="16"/>
          <w:color w:val="auto"/>
        </w:rPr>
        <w:t>The grant-date fair value of the 2021 CEO Option Award was estimated using the Monte Carlo simulation. The grant-date fair value of the 2021 CEO Option Award on the grant date was $3.0 million.</w:t>
      </w:r>
    </w:p>
    <w:p>
      <w:pPr>
        <w:spacing w:after="0" w:line="164" w:lineRule="exact"/>
        <w:rPr>
          <w:sz w:val="20"/>
          <w:szCs w:val="20"/>
          <w:color w:val="auto"/>
        </w:rPr>
      </w:pPr>
    </w:p>
    <w:p>
      <w:pPr>
        <w:jc w:val="both"/>
        <w:ind w:left="580" w:right="2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2022 Modification of the 2019 CEO Option Award and the 2021 CEO Option Award. </w:t>
      </w:r>
      <w:r>
        <w:rPr>
          <w:rFonts w:ascii="Times New Roman" w:cs="Times New Roman" w:eastAsia="Times New Roman" w:hAnsi="Times New Roman"/>
          <w:sz w:val="16"/>
          <w:szCs w:val="16"/>
          <w:color w:val="auto"/>
        </w:rPr>
        <w:t>On December 28, 2022, the 2019 CEO Option Award shares subject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 Capitalization Condition and the 2021 CEO Option Award were amended. The amendments modified the vesting terms of the awards to align more closely with macroeconomic trends and the Company's performance. Prior to the amendments, the 2019 CEO Option Award included that the estimated price per share of the Company’s common stock that would be required to meet the market capitalization goal of $5.0 billion by November 19, 2026 was approximately $361.00. Pursuant to the amendments, adjustments were made to the performance goal required to be achieved by November 19, 2026 from a market capitalization goal of $5.0 billion to a stock price target of $105.40. Prior to the amendments, the 2021 CEO Option Award market value targets required to be achieved by December 31, 2023, December 31, 2024, and December 31, 2025 were approximately $304.00, $422.00, and $481.00. Pursuant to the amendment, the adjusted dates for the market value targets to be achieved, and the market value targets required to be achieved were changed to December 31, 2025 December 31, 2026 and December 31, 2027, and to $90.60, $127.80, and $142.80, respectively. The amendment represented a modification of the awards. The impact of the modification was immaterial to the consolidated financial statements for the year ended December 31, 2022 and resulted in approximately $1.5 million of incremental expense to be recognized in future years, over the remaining life of the awards.</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u w:val="single" w:color="auto"/>
          <w:color w:val="auto"/>
        </w:rPr>
        <w:t>RSUs</w:t>
      </w:r>
      <w:r>
        <w:rPr>
          <w:rFonts w:ascii="Times New Roman" w:cs="Times New Roman" w:eastAsia="Times New Roman" w:hAnsi="Times New Roman"/>
          <w:sz w:val="16"/>
          <w:szCs w:val="16"/>
          <w:color w:val="auto"/>
          <w:highlight w:val="white"/>
        </w:rPr>
        <w:t>: The fair value of the Company’s RSUs is expensed</w:t>
      </w:r>
      <w:r>
        <w:rPr>
          <w:rFonts w:ascii="Times New Roman" w:cs="Times New Roman" w:eastAsia="Times New Roman" w:hAnsi="Times New Roman"/>
          <w:sz w:val="16"/>
          <w:szCs w:val="16"/>
          <w:color w:val="auto"/>
        </w:rPr>
        <w:t xml:space="preserve"> ratably over the vesting period. The Company’s RSUs generally vest over four years, with a cliff equal to one-fourth of the award after the first year, and then quarterly thereafter over the remaining service period. For the years ended December 31, 2023 and 2022, the Company recorded stock-based compensation expense from RSUs of approximately $6.1 million and $4.4 million, respectively. No stock-based compensation expense from RSUs was recorded in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RSU activity under the Company’s equity incentive plans is as follows: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65"/>
        </w:trPr>
        <w:tc>
          <w:tcPr>
            <w:tcW w:w="7980" w:type="dxa"/>
            <w:vAlign w:val="bottom"/>
          </w:tcPr>
          <w:p>
            <w:pPr>
              <w:spacing w:after="0"/>
              <w:rPr>
                <w:sz w:val="24"/>
                <w:szCs w:val="24"/>
                <w:color w:val="auto"/>
              </w:rPr>
            </w:pPr>
          </w:p>
        </w:tc>
        <w:tc>
          <w:tcPr>
            <w:tcW w:w="2820" w:type="dxa"/>
            <w:vAlign w:val="bottom"/>
            <w:gridSpan w:val="3"/>
          </w:tcPr>
          <w:p>
            <w:pPr>
              <w:jc w:val="right"/>
              <w:ind w:right="498"/>
              <w:spacing w:after="0"/>
              <w:rPr>
                <w:sz w:val="20"/>
                <w:szCs w:val="20"/>
                <w:color w:val="auto"/>
              </w:rPr>
            </w:pPr>
            <w:r>
              <w:rPr>
                <w:rFonts w:ascii="Times New Roman" w:cs="Times New Roman" w:eastAsia="Times New Roman" w:hAnsi="Times New Roman"/>
                <w:sz w:val="16"/>
                <w:szCs w:val="16"/>
                <w:color w:val="auto"/>
              </w:rPr>
              <w:t>RSUs Outstanding</w:t>
            </w:r>
          </w:p>
        </w:tc>
        <w:tc>
          <w:tcPr>
            <w:tcW w:w="460" w:type="dxa"/>
            <w:vAlign w:val="bottom"/>
          </w:tcPr>
          <w:p>
            <w:pPr>
              <w:spacing w:after="0"/>
              <w:rPr>
                <w:sz w:val="24"/>
                <w:szCs w:val="24"/>
                <w:color w:val="auto"/>
              </w:rPr>
            </w:pPr>
          </w:p>
        </w:tc>
      </w:tr>
      <w:tr>
        <w:trPr>
          <w:trHeight w:val="38"/>
        </w:trPr>
        <w:tc>
          <w:tcPr>
            <w:tcW w:w="79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08"/>
        </w:trPr>
        <w:tc>
          <w:tcPr>
            <w:tcW w:w="7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378"/>
              <w:spacing w:after="0"/>
              <w:rPr>
                <w:sz w:val="20"/>
                <w:szCs w:val="20"/>
                <w:color w:val="auto"/>
              </w:rPr>
            </w:pPr>
            <w:r>
              <w:rPr>
                <w:rFonts w:ascii="Times New Roman" w:cs="Times New Roman" w:eastAsia="Times New Roman" w:hAnsi="Times New Roman"/>
                <w:sz w:val="16"/>
                <w:szCs w:val="16"/>
                <w:color w:val="auto"/>
              </w:rPr>
              <w:t>Weighted-</w:t>
            </w:r>
          </w:p>
        </w:tc>
        <w:tc>
          <w:tcPr>
            <w:tcW w:w="460" w:type="dxa"/>
            <w:vAlign w:val="bottom"/>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left="358"/>
              <w:spacing w:after="0"/>
              <w:rPr>
                <w:sz w:val="20"/>
                <w:szCs w:val="20"/>
                <w:color w:val="auto"/>
              </w:rPr>
            </w:pPr>
            <w:r>
              <w:rPr>
                <w:rFonts w:ascii="Times New Roman" w:cs="Times New Roman" w:eastAsia="Times New Roman" w:hAnsi="Times New Roman"/>
                <w:sz w:val="16"/>
                <w:szCs w:val="16"/>
                <w:color w:val="auto"/>
                <w:w w:val="99"/>
              </w:rPr>
              <w:t>Average</w:t>
            </w:r>
          </w:p>
        </w:tc>
        <w:tc>
          <w:tcPr>
            <w:tcW w:w="460" w:type="dxa"/>
            <w:vAlign w:val="bottom"/>
          </w:tcPr>
          <w:p>
            <w:pPr>
              <w:spacing w:after="0"/>
              <w:rPr>
                <w:sz w:val="17"/>
                <w:szCs w:val="17"/>
                <w:color w:val="auto"/>
              </w:rPr>
            </w:pPr>
          </w:p>
        </w:tc>
      </w:tr>
      <w:tr>
        <w:trPr>
          <w:trHeight w:val="211"/>
        </w:trPr>
        <w:tc>
          <w:tcPr>
            <w:tcW w:w="798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Number of RSUs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Grant Date Fair Value</w:t>
            </w:r>
          </w:p>
        </w:tc>
      </w:tr>
      <w:tr>
        <w:trPr>
          <w:trHeight w:val="38"/>
        </w:trPr>
        <w:tc>
          <w:tcPr>
            <w:tcW w:w="79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2022</w:t>
            </w:r>
          </w:p>
        </w:tc>
        <w:tc>
          <w:tcPr>
            <w:tcW w:w="1600" w:type="dxa"/>
            <w:vAlign w:val="bottom"/>
            <w:tcBorders>
              <w:bottom w:val="single" w:sz="8" w:color="CCEEFF"/>
            </w:tcBorders>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w w:val="99"/>
              </w:rPr>
              <w:t>583,707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44.27</w:t>
            </w:r>
          </w:p>
        </w:tc>
      </w:tr>
      <w:tr>
        <w:trPr>
          <w:trHeight w:val="219"/>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center"/>
              <w:ind w:left="838"/>
              <w:spacing w:after="0"/>
              <w:rPr>
                <w:sz w:val="20"/>
                <w:szCs w:val="20"/>
                <w:color w:val="auto"/>
              </w:rPr>
            </w:pPr>
            <w:r>
              <w:rPr>
                <w:rFonts w:ascii="Times New Roman" w:cs="Times New Roman" w:eastAsia="Times New Roman" w:hAnsi="Times New Roman"/>
                <w:sz w:val="16"/>
                <w:szCs w:val="16"/>
                <w:color w:val="auto"/>
                <w:w w:val="99"/>
              </w:rPr>
              <w:t>141,987</w:t>
            </w:r>
          </w:p>
        </w:tc>
        <w:tc>
          <w:tcPr>
            <w:tcW w:w="80" w:type="dxa"/>
            <w:vAlign w:val="bottom"/>
          </w:tcPr>
          <w:p>
            <w:pPr>
              <w:spacing w:after="0"/>
              <w:rPr>
                <w:sz w:val="19"/>
                <w:szCs w:val="19"/>
                <w:color w:val="auto"/>
              </w:rPr>
            </w:pPr>
          </w:p>
        </w:tc>
        <w:tc>
          <w:tcPr>
            <w:tcW w:w="1140" w:type="dxa"/>
            <w:vAlign w:val="bottom"/>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12.19</w:t>
            </w:r>
          </w:p>
        </w:tc>
      </w:tr>
      <w:tr>
        <w:trPr>
          <w:trHeight w:val="38"/>
        </w:trPr>
        <w:tc>
          <w:tcPr>
            <w:tcW w:w="79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37"/>
        </w:trPr>
        <w:tc>
          <w:tcPr>
            <w:tcW w:w="7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600" w:type="dxa"/>
            <w:vAlign w:val="bottom"/>
            <w:tcBorders>
              <w:bottom w:val="single" w:sz="8" w:color="CCEEFF"/>
            </w:tcBorders>
            <w:shd w:val="clear" w:color="auto" w:fill="CCEEFF"/>
          </w:tcPr>
          <w:p>
            <w:pPr>
              <w:jc w:val="center"/>
              <w:ind w:left="798"/>
              <w:spacing w:after="0"/>
              <w:rPr>
                <w:sz w:val="20"/>
                <w:szCs w:val="20"/>
                <w:color w:val="auto"/>
              </w:rPr>
            </w:pPr>
            <w:r>
              <w:rPr>
                <w:rFonts w:ascii="Times New Roman" w:cs="Times New Roman" w:eastAsia="Times New Roman" w:hAnsi="Times New Roman"/>
                <w:sz w:val="16"/>
                <w:szCs w:val="16"/>
                <w:color w:val="auto"/>
              </w:rPr>
              <w:t>(154,062)</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43.74</w:t>
            </w:r>
          </w:p>
        </w:tc>
      </w:tr>
      <w:tr>
        <w:trPr>
          <w:trHeight w:val="219"/>
        </w:trPr>
        <w:tc>
          <w:tcPr>
            <w:tcW w:w="7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600" w:type="dxa"/>
            <w:vAlign w:val="bottom"/>
          </w:tcPr>
          <w:p>
            <w:pPr>
              <w:jc w:val="center"/>
              <w:ind w:left="798"/>
              <w:spacing w:after="0"/>
              <w:rPr>
                <w:sz w:val="20"/>
                <w:szCs w:val="20"/>
                <w:color w:val="auto"/>
              </w:rPr>
            </w:pPr>
            <w:r>
              <w:rPr>
                <w:rFonts w:ascii="Times New Roman" w:cs="Times New Roman" w:eastAsia="Times New Roman" w:hAnsi="Times New Roman"/>
                <w:sz w:val="16"/>
                <w:szCs w:val="16"/>
                <w:color w:val="auto"/>
              </w:rPr>
              <w:t>(212,457)</w:t>
            </w:r>
          </w:p>
        </w:tc>
        <w:tc>
          <w:tcPr>
            <w:tcW w:w="80" w:type="dxa"/>
            <w:vAlign w:val="bottom"/>
          </w:tcPr>
          <w:p>
            <w:pPr>
              <w:spacing w:after="0"/>
              <w:rPr>
                <w:sz w:val="19"/>
                <w:szCs w:val="19"/>
                <w:color w:val="auto"/>
              </w:rPr>
            </w:pPr>
          </w:p>
        </w:tc>
        <w:tc>
          <w:tcPr>
            <w:tcW w:w="1140" w:type="dxa"/>
            <w:vAlign w:val="bottom"/>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39.04</w:t>
            </w:r>
          </w:p>
        </w:tc>
      </w:tr>
      <w:tr>
        <w:trPr>
          <w:trHeight w:val="38"/>
        </w:trPr>
        <w:tc>
          <w:tcPr>
            <w:tcW w:w="79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6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600" w:type="dxa"/>
            <w:vAlign w:val="bottom"/>
            <w:tcBorders>
              <w:bottom w:val="single" w:sz="8" w:color="auto"/>
            </w:tcBorders>
            <w:shd w:val="clear" w:color="auto" w:fill="CCEEFF"/>
          </w:tcPr>
          <w:p>
            <w:pPr>
              <w:jc w:val="center"/>
              <w:ind w:left="838"/>
              <w:spacing w:after="0"/>
              <w:rPr>
                <w:sz w:val="20"/>
                <w:szCs w:val="20"/>
                <w:color w:val="auto"/>
              </w:rPr>
            </w:pPr>
            <w:r>
              <w:rPr>
                <w:rFonts w:ascii="Times New Roman" w:cs="Times New Roman" w:eastAsia="Times New Roman" w:hAnsi="Times New Roman"/>
                <w:sz w:val="16"/>
                <w:szCs w:val="16"/>
                <w:color w:val="auto"/>
                <w:w w:val="99"/>
              </w:rPr>
              <w:t>359,175</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u w:val="single" w:color="auto"/>
          <w:color w:val="auto"/>
        </w:rPr>
        <w:t>MSUs</w:t>
      </w:r>
      <w:r>
        <w:rPr>
          <w:rFonts w:ascii="Times New Roman" w:cs="Times New Roman" w:eastAsia="Times New Roman" w:hAnsi="Times New Roman"/>
          <w:sz w:val="16"/>
          <w:szCs w:val="16"/>
          <w:color w:val="auto"/>
          <w:highlight w:val="white"/>
        </w:rPr>
        <w:t>: In May 2022, the Company issued MSUs to certain key executives in accordance with the Company’s 2021 Management Equity Incentive Plan.</w:t>
      </w:r>
      <w:r>
        <w:rPr>
          <w:rFonts w:ascii="Times New Roman" w:cs="Times New Roman" w:eastAsia="Times New Roman" w:hAnsi="Times New Roman"/>
          <w:sz w:val="16"/>
          <w:szCs w:val="16"/>
          <w:color w:val="auto"/>
        </w:rPr>
        <w:t xml:space="preserve"> One-sixth of the MSUs vest upon (including prior to but contingent on) the occurrence of each of six distinct triggering events, including if certain share price targets are met, within the five-year period ending July 17, 2027.</w:t>
      </w:r>
    </w:p>
    <w:p>
      <w:pPr>
        <w:spacing w:after="0" w:line="18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Company determined the grant-date fair value of the MSUs using a Monte Carlo simulation. The Company recognizes stock-based compensation for the MSUs over the requisite service period, which is approximately four years, using the accelerated attribution method. During the year ended December 31, 2023, the Company did not grant MSUs. During the year ended December 31, 2022, the Company granted 725,000 MSUs at a total grant-date fair value of $4.2 million. During the year ended December 31, 2023 and 2022, the Company recognized approximately $0.8 million and $0.5 million, respectively, in stock-based compensation expense from MSUs. No stock-based compensation expense from MSUs was recorded in 2021.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3" w:name="page144"/>
    <w:bookmarkEnd w:id="14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12. Net Loss per Common Share</w:t>
      </w:r>
    </w:p>
    <w:p>
      <w:pPr>
        <w:spacing w:after="0" w:line="236"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The Company applies the two-class method when computing net loss per share attributable to common stockholders when shares are issued that meet the definition of a participating security. The two-class method determines net loss per share for each class of common stock and participating securities according to dividends declared or accumulated and participation rights in undistributed earnings. The two-class method requires earnings available to common stockholders for the period to be allocated between common stock and participating securities based upon their respective rights to receive dividends as if all earnings for the period had been distributed.</w:t>
      </w:r>
    </w:p>
    <w:p>
      <w:pPr>
        <w:spacing w:after="0" w:line="185"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Basic net loss per share is computed by dividing the net loss by the weighted-average number of shares of common stock outstanding during the period, less weighted-average shares subject to repurchase. The diluted net loss per share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potentially dilutive common shares are anti-dilutive.</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tables set forth the computation of basic and diluted net loss per share (in thousands, except share data):</w:t>
      </w:r>
    </w:p>
    <w:p>
      <w:pPr>
        <w:spacing w:after="0" w:line="281"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
        </w:trPr>
        <w:tc>
          <w:tcPr>
            <w:tcW w:w="57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6"/>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(245,031)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(293,955)</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5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Weighted average basic and diluted common shares outstanding </w:t>
            </w:r>
            <w:r>
              <w:rPr>
                <w:rFonts w:ascii="Times New Roman" w:cs="Times New Roman" w:eastAsia="Times New Roman" w:hAnsi="Times New Roman"/>
                <w:sz w:val="21"/>
                <w:szCs w:val="21"/>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10,933,126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10,301,880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588,296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12"/>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(499.67)</w:t>
            </w:r>
          </w:p>
        </w:tc>
      </w:tr>
      <w:tr>
        <w:trPr>
          <w:trHeight w:val="38"/>
        </w:trPr>
        <w:tc>
          <w:tcPr>
            <w:tcW w:w="57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
        </w:trPr>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142" w:right="20" w:hanging="142"/>
        <w:spacing w:after="0" w:line="223" w:lineRule="auto"/>
        <w:tabs>
          <w:tab w:leader="none" w:pos="159"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198" w:lineRule="exact"/>
        <w:rPr>
          <w:sz w:val="20"/>
          <w:szCs w:val="20"/>
          <w:color w:val="auto"/>
        </w:rPr>
      </w:pPr>
    </w:p>
    <w:p>
      <w:pPr>
        <w:ind w:left="2" w:right="20"/>
        <w:spacing w:after="0" w:line="265" w:lineRule="auto"/>
        <w:rPr>
          <w:sz w:val="20"/>
          <w:szCs w:val="20"/>
          <w:color w:val="auto"/>
        </w:rPr>
      </w:pPr>
      <w:r>
        <w:rPr>
          <w:rFonts w:ascii="Times New Roman" w:cs="Times New Roman" w:eastAsia="Times New Roman" w:hAnsi="Times New Roman"/>
          <w:sz w:val="16"/>
          <w:szCs w:val="16"/>
          <w:color w:val="auto"/>
        </w:rPr>
        <w:t>The following potential common shares outstanding were excluded from the computation of diluted net loss per share because including them would have been anti-dilutive:</w:t>
      </w:r>
    </w:p>
    <w:p>
      <w:pPr>
        <w:spacing w:after="0" w:line="200" w:lineRule="exact"/>
        <w:rPr>
          <w:sz w:val="20"/>
          <w:szCs w:val="20"/>
          <w:color w:val="auto"/>
        </w:rPr>
      </w:pPr>
    </w:p>
    <w:p>
      <w:pPr>
        <w:spacing w:after="0" w:line="258" w:lineRule="exact"/>
        <w:rPr>
          <w:sz w:val="20"/>
          <w:szCs w:val="20"/>
          <w:color w:val="auto"/>
        </w:rPr>
      </w:pPr>
    </w:p>
    <w:p>
      <w:pPr>
        <w:ind w:left="7642"/>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41275</wp:posOffset>
            </wp:positionV>
            <wp:extent cx="349059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90595" cy="7620"/>
                    </a:xfrm>
                    <a:prstGeom prst="rect">
                      <a:avLst/>
                    </a:prstGeom>
                    <a:noFill/>
                  </pic:spPr>
                </pic:pic>
              </a:graphicData>
            </a:graphic>
          </wp:anchor>
        </w:drawing>
      </w:r>
    </w:p>
    <w:p>
      <w:pPr>
        <w:spacing w:after="0" w:line="65"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6780" w:type="dxa"/>
            <w:vAlign w:val="bottom"/>
            <w:gridSpan w:val="2"/>
          </w:tcPr>
          <w:p>
            <w:pPr>
              <w:ind w:left="6460"/>
              <w:spacing w:after="0"/>
              <w:rPr>
                <w:sz w:val="20"/>
                <w:szCs w:val="20"/>
                <w:color w:val="auto"/>
              </w:rPr>
            </w:pPr>
            <w:r>
              <w:rPr>
                <w:rFonts w:ascii="Times New Roman" w:cs="Times New Roman" w:eastAsia="Times New Roman" w:hAnsi="Times New Roman"/>
                <w:sz w:val="16"/>
                <w:szCs w:val="16"/>
                <w:color w:val="auto"/>
                <w:w w:val="93"/>
              </w:rPr>
              <w:t>2023</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17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9"/>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2,685,923</w:t>
            </w:r>
          </w:p>
        </w:tc>
        <w:tc>
          <w:tcPr>
            <w:tcW w:w="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1,833,950</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1,533,994</w:t>
            </w: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subject to repurchase or forfeiture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75,901</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121,645</w:t>
            </w:r>
          </w:p>
        </w:tc>
      </w:tr>
      <w:tr>
        <w:trPr>
          <w:trHeight w:val="38"/>
        </w:trPr>
        <w:tc>
          <w:tcPr>
            <w:tcW w:w="5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37"/>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RSUs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359,175</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584,591</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MSUs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602,999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5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7"/>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r>
              <w:rPr>
                <w:rFonts w:ascii="Times New Roman" w:cs="Times New Roman" w:eastAsia="Times New Roman" w:hAnsi="Times New Roman"/>
                <w:sz w:val="21"/>
                <w:szCs w:val="21"/>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5,563,571</w:t>
            </w:r>
          </w:p>
        </w:tc>
      </w:tr>
      <w:tr>
        <w:trPr>
          <w:trHeight w:val="21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Exchangeable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712,982</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1,019,461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1,614,827</w:t>
            </w:r>
          </w:p>
        </w:tc>
      </w:tr>
      <w:tr>
        <w:trPr>
          <w:trHeight w:val="38"/>
        </w:trPr>
        <w:tc>
          <w:tcPr>
            <w:tcW w:w="57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63"/>
        </w:trPr>
        <w:tc>
          <w:tcPr>
            <w:tcW w:w="6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common stock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4,401,481</w:t>
            </w:r>
          </w:p>
        </w:tc>
        <w:tc>
          <w:tcPr>
            <w:tcW w:w="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4,136,663</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8,834,037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42" w:right="20" w:hanging="142"/>
        <w:spacing w:after="0" w:line="291" w:lineRule="auto"/>
        <w:tabs>
          <w:tab w:leader="none" w:pos="131" w:val="left"/>
        </w:tabs>
        <w:numPr>
          <w:ilvl w:val="0"/>
          <w:numId w:val="43"/>
        </w:numPr>
        <w:rPr>
          <w:rFonts w:ascii="Times New Roman" w:cs="Times New Roman" w:eastAsia="Times New Roman" w:hAnsi="Times New Roman"/>
          <w:sz w:val="10"/>
          <w:szCs w:val="10"/>
          <w:color w:val="auto"/>
        </w:rPr>
      </w:pPr>
      <w:r>
        <w:rPr>
          <w:rFonts w:ascii="Times New Roman" w:cs="Times New Roman" w:eastAsia="Times New Roman" w:hAnsi="Times New Roman"/>
          <w:sz w:val="16"/>
          <w:szCs w:val="16"/>
          <w:color w:val="auto"/>
        </w:rPr>
        <w:t>Includes the warrants reclassified to equity as of December 31, 2021 and those issued in connection with the 2018 Loan and Security Agreement and related amendment as of December 31, 2021.</w:t>
      </w: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13. Commitments and Contingencies</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Surety Bonds</w:t>
      </w:r>
    </w:p>
    <w:p>
      <w:pPr>
        <w:spacing w:after="0" w:line="234"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A portion of the Company’s leases are supported by surety bonds provided by affiliates of certain insurance companies. At December 31, 2023, the Company had commitments from six surety providers in the amount of $44.5 million, of which $40.8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spacing w:after="0" w:line="200" w:lineRule="exact"/>
        <w:rPr>
          <w:sz w:val="20"/>
          <w:szCs w:val="20"/>
          <w:color w:val="auto"/>
        </w:rPr>
      </w:pPr>
    </w:p>
    <w:p>
      <w:pPr>
        <w:spacing w:after="0" w:line="30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Legal and Regulatory Matters</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Company has been and expects to continue to become involved in litigation or other legal proceedings from time to time, including the matter described below. Except as described below, the Company is not currently a party to any litigation or legal proceedings that, in the opinion of management, is likely to have a material adverse effect on the Company’s business. Regardless of outcome, litigation and other legal proceedings can have an adverse impact on the Company because of defense and settlement costs, diversion of management resources, possible restrictions on the business as a result of settlement or adverse outcomes, and other factors.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February 2020, the Company was informed about an investigation underway by the New York City Department of Health and Mental Hygiene relating to possible Legionella bacteria contamination in the water supply at the Broad Street Property. Due to the failure of the owner of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Inc., and Sonder Holdings Inc. for breach of the lease, seeking no less than $3.9 million in damages. The Company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Sonder’s counterclaims; and ordering a trial for the amount of damages. On November 13, 2023, Sonder filed a notice of appeal of the October 13, 2023 court order on liability. On May 9, 2024, the appellate court affirmed the trial court’s order as to liability, but directed the trial court to allow Sonder the right to conduct discovery concerning the amount of the Broad Street Landlord’s alleged damages. Discovery has commenced in the trial court regarding the Broad Street Landlord’s alleged damages. The Broad Street Landlord has provided information in discovery indicating that through June 2024, it is seeking $36.9 million in alleged damages. A trial date to determine damages has not yet been set. On June 12, 2024, Sonder filed a motion in the appellate court seeking leave to reargue aspects of the appellate court’s order, or alternatively, for leave to appeal the order. On September 26, 2024, the appellate court granted Sonder’s motion to reargue and issued an order reversing the trial court’s decision to dismiss Sonder’s breach of contract claim related to the Broad Street Landlord’s failed to maintain the plumbing systems in good repair for the period prior to when Sonder began withholding payment of rent.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establishes an accrued liability for loss contingencies related to legal matters when a loss is both probable and reasonably estimable. These accruals represent management’s best estimate of probable losses. The Company recorded an estimated accrual of $17.3 million and $5.8 million in the consolidated balance sheets as of December 31, 2023 and 2022,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based on management’s current knowledge, the amount or range of reasonably possible loss will not, either individually or in the aggregate, have a material adverse effect on the Company’s business, results of operations, financial condition, and cash flows.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Contingencies</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 The Company recorded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estimated accruals of $6.8 million and $7.9 million in the taxes payable line item of the consolidated balance sheets as of December 31, 2023 and 2022, respectively, for such matters.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Indemnifications</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The Company has entered into indemnification agreements with all of its directors. The indemnification agreements and its Amended and Restated Bylaws (the “Bylaws”) require the Company to indemnify these individuals to the fullest extent not prohibited by Delaware law. Subject to certain limitations, the indemnification agreements and Bylaws also require the Company to advance expenses incurred by its directors. No demands have been made for the Company to provide indemnification under the indemnification agreements or the Bylaws, and thus, there are no claims that management is aware of that could have a material adverse effect on the Company’s business, results of operations, financial condition, and cash flows.</w:t>
      </w:r>
    </w:p>
    <w:p>
      <w:pPr>
        <w:spacing w:after="0" w:line="18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14. Income Taxes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(benefit) provision for income taxes are as follows (in thousands):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5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38"/>
        </w:trPr>
        <w:tc>
          <w:tcPr>
            <w:tcW w:w="5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States</w:t>
            </w: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38"/>
        </w:trPr>
        <w:tc>
          <w:tcPr>
            <w:tcW w:w="5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provision for income taxes</w:t>
            </w: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deferred benefit for income taxes</w:t>
            </w: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
        </w:trPr>
        <w:tc>
          <w:tcPr>
            <w:tcW w:w="57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(benefit) provision for income taxes</w:t>
            </w: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80" w:type="dxa"/>
            <w:vAlign w:val="bottom"/>
            <w:tcBorders>
              <w:top w:val="single" w:sz="8" w:color="CCEEFF"/>
              <w:bottom w:val="single" w:sz="8" w:color="6D6D6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domestic and foreign components of loss before income taxes are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
        </w:trPr>
        <w:tc>
          <w:tcPr>
            <w:tcW w:w="5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1080" w:type="dxa"/>
            <w:vAlign w:val="bottom"/>
            <w:tcBorders>
              <w:bottom w:val="single" w:sz="8" w:color="CCEEFF"/>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(214,936)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(261,420)</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(32,293)</w:t>
            </w:r>
          </w:p>
        </w:tc>
      </w:tr>
      <w:tr>
        <w:trPr>
          <w:trHeight w:val="38"/>
        </w:trPr>
        <w:tc>
          <w:tcPr>
            <w:tcW w:w="5760" w:type="dxa"/>
            <w:vAlign w:val="bottom"/>
            <w:tcBorders>
              <w:bottom w:val="single" w:sz="8" w:color="CCEEFF"/>
            </w:tcBorders>
          </w:tcPr>
          <w:p>
            <w:pPr>
              <w:spacing w:after="0"/>
              <w:rPr>
                <w:sz w:val="3"/>
                <w:szCs w:val="3"/>
                <w:color w:val="auto"/>
              </w:rPr>
            </w:pPr>
          </w:p>
        </w:tc>
        <w:tc>
          <w:tcPr>
            <w:tcW w:w="1080" w:type="dxa"/>
            <w:vAlign w:val="bottom"/>
            <w:tcBorders>
              <w:bottom w:val="single" w:sz="8" w:color="6D6D6D"/>
            </w:tcBorders>
          </w:tcPr>
          <w:p>
            <w:pPr>
              <w:spacing w:after="0"/>
              <w:rPr>
                <w:sz w:val="3"/>
                <w:szCs w:val="3"/>
                <w:color w:val="auto"/>
              </w:rPr>
            </w:pPr>
          </w:p>
        </w:tc>
        <w:tc>
          <w:tcPr>
            <w:tcW w:w="680" w:type="dxa"/>
            <w:vAlign w:val="bottom"/>
            <w:tcBorders>
              <w:bottom w:val="single" w:sz="8" w:color="6D6D6D"/>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360" w:type="dxa"/>
            <w:vAlign w:val="bottom"/>
            <w:tcBorders>
              <w:bottom w:val="single" w:sz="8" w:color="6D6D6D"/>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r>
      <w:tr>
        <w:trPr>
          <w:trHeight w:val="268"/>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80" w:type="dxa"/>
            <w:vAlign w:val="bottom"/>
            <w:tcBorders>
              <w:bottom w:val="single" w:sz="8" w:color="6D6D6D"/>
            </w:tcBorders>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6D6D6D"/>
            </w:tcBorders>
          </w:tcPr>
          <w:p>
            <w:pPr>
              <w:spacing w:after="0" w:line="20" w:lineRule="exact"/>
              <w:rPr>
                <w:sz w:val="1"/>
                <w:szCs w:val="1"/>
                <w:color w:val="auto"/>
              </w:rPr>
            </w:pPr>
          </w:p>
        </w:tc>
        <w:tc>
          <w:tcPr>
            <w:tcW w:w="68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80" w:type="dxa"/>
            <w:vAlign w:val="bottom"/>
            <w:tcBorders>
              <w:top w:val="single" w:sz="8" w:color="CCEEFF"/>
              <w:bottom w:val="single" w:sz="8" w:color="6D6D6D"/>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(benefit) provision for income tax on loss before income taxes at the U.S. federal statutory rate of 21.0% compared with the Company’s actual (benefit)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 income taxes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8"/>
        </w:trPr>
        <w:tc>
          <w:tcPr>
            <w:tcW w:w="57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at U.S. statutory rate</w:t>
            </w:r>
          </w:p>
        </w:tc>
        <w:tc>
          <w:tcPr>
            <w:tcW w:w="1120" w:type="dxa"/>
            <w:vAlign w:val="bottom"/>
            <w:tcBorders>
              <w:bottom w:val="single" w:sz="8" w:color="CCEEFF"/>
            </w:tcBorders>
            <w:shd w:val="clear" w:color="auto" w:fill="CCEEFF"/>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(61,680)</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(7,645)</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debt instruments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loss</w:t>
            </w:r>
          </w:p>
        </w:tc>
        <w:tc>
          <w:tcPr>
            <w:tcW w:w="1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(9,640)</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76,445</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losses</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(benefit) provision for income taxes</w:t>
            </w:r>
          </w:p>
        </w:tc>
        <w:tc>
          <w:tcPr>
            <w:tcW w:w="1120" w:type="dxa"/>
            <w:vAlign w:val="bottom"/>
            <w:tcBorders>
              <w:top w:val="single" w:sz="8" w:color="6D6D6D"/>
              <w:bottom w:val="single" w:sz="8" w:color="6D6D6D"/>
            </w:tcBorders>
          </w:tcPr>
          <w:p>
            <w:pPr>
              <w:jc w:val="right"/>
              <w:ind w:right="93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21"/>
                <w:szCs w:val="21"/>
                <w:color w:val="auto"/>
              </w:rPr>
            </w:pPr>
          </w:p>
        </w:tc>
        <w:tc>
          <w:tcPr>
            <w:tcW w:w="560" w:type="dxa"/>
            <w:vAlign w:val="bottom"/>
            <w:tcBorders>
              <w:top w:val="single" w:sz="8" w:color="6D6D6D"/>
              <w:bottom w:val="single" w:sz="8" w:color="6D6D6D"/>
            </w:tcBorders>
          </w:tcPr>
          <w:p>
            <w:pPr>
              <w:jc w:val="right"/>
              <w:ind w:right="378"/>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6D6D6D"/>
              <w:bottom w:val="single" w:sz="8" w:color="6D6D6D"/>
            </w:tcBorders>
          </w:tcPr>
          <w:p>
            <w:pPr>
              <w:spacing w:after="0"/>
              <w:rPr>
                <w:sz w:val="21"/>
                <w:szCs w:val="21"/>
                <w:color w:val="auto"/>
              </w:rPr>
            </w:pPr>
          </w:p>
        </w:tc>
        <w:tc>
          <w:tcPr>
            <w:tcW w:w="108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21"/>
                <w:szCs w:val="21"/>
                <w:color w:val="auto"/>
              </w:rPr>
            </w:pPr>
          </w:p>
        </w:tc>
        <w:tc>
          <w:tcPr>
            <w:tcW w:w="200" w:type="dxa"/>
            <w:vAlign w:val="bottom"/>
            <w:tcBorders>
              <w:top w:val="single" w:sz="8" w:color="6D6D6D"/>
              <w:bottom w:val="single" w:sz="8" w:color="6D6D6D"/>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6D6D6D"/>
              <w:bottom w:val="single" w:sz="8" w:color="6D6D6D"/>
            </w:tcBorders>
          </w:tcPr>
          <w:p>
            <w:pPr>
              <w:spacing w:after="0"/>
              <w:rPr>
                <w:sz w:val="21"/>
                <w:szCs w:val="21"/>
                <w:color w:val="auto"/>
              </w:rPr>
            </w:pPr>
          </w:p>
        </w:tc>
        <w:tc>
          <w:tcPr>
            <w:tcW w:w="260" w:type="dxa"/>
            <w:vAlign w:val="bottom"/>
            <w:tcBorders>
              <w:top w:val="single" w:sz="8" w:color="6D6D6D"/>
              <w:bottom w:val="single" w:sz="8" w:color="6D6D6D"/>
            </w:tcBorders>
          </w:tcPr>
          <w:p>
            <w:pPr>
              <w:spacing w:after="0"/>
              <w:rPr>
                <w:sz w:val="21"/>
                <w:szCs w:val="21"/>
                <w:color w:val="auto"/>
              </w:rPr>
            </w:pPr>
          </w:p>
        </w:tc>
        <w:tc>
          <w:tcPr>
            <w:tcW w:w="12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3"/>
        </w:trPr>
        <w:tc>
          <w:tcPr>
            <w:tcW w:w="5760" w:type="dxa"/>
            <w:vAlign w:val="bottom"/>
          </w:tcPr>
          <w:p>
            <w:pPr>
              <w:spacing w:after="0"/>
              <w:rPr>
                <w:sz w:val="2"/>
                <w:szCs w:val="2"/>
                <w:color w:val="auto"/>
              </w:rPr>
            </w:pPr>
          </w:p>
        </w:tc>
        <w:tc>
          <w:tcPr>
            <w:tcW w:w="112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1080" w:type="dxa"/>
            <w:vAlign w:val="bottom"/>
            <w:tcBorders>
              <w:bottom w:val="single" w:sz="8" w:color="6D6D6D"/>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80" w:type="dxa"/>
            <w:vAlign w:val="bottom"/>
            <w:tcBorders>
              <w:bottom w:val="single" w:sz="8" w:color="6D6D6D"/>
            </w:tcBorders>
          </w:tcPr>
          <w:p>
            <w:pPr>
              <w:spacing w:after="0"/>
              <w:rPr>
                <w:sz w:val="2"/>
                <w:szCs w:val="2"/>
                <w:color w:val="auto"/>
              </w:rPr>
            </w:pPr>
          </w:p>
        </w:tc>
        <w:tc>
          <w:tcPr>
            <w:tcW w:w="26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r>
      <w:tr>
        <w:trPr>
          <w:trHeight w:val="481"/>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components of the Company’s net deferred tax assets and liabilities are as follows (in thousands):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65"/>
        </w:trPr>
        <w:tc>
          <w:tcPr>
            <w:tcW w:w="5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6"/>
          </w:tcPr>
          <w:p>
            <w:pPr>
              <w:jc w:val="right"/>
              <w:ind w:right="618"/>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18"/>
              <w:spacing w:after="0"/>
              <w:rPr>
                <w:sz w:val="20"/>
                <w:szCs w:val="20"/>
                <w:color w:val="auto"/>
              </w:rPr>
            </w:pPr>
            <w:r>
              <w:rPr>
                <w:rFonts w:ascii="Times New Roman" w:cs="Times New Roman" w:eastAsia="Times New Roman" w:hAnsi="Times New Roman"/>
                <w:sz w:val="16"/>
                <w:szCs w:val="16"/>
                <w:color w:val="auto"/>
              </w:rPr>
              <w:t>2022</w:t>
            </w:r>
          </w:p>
        </w:tc>
      </w:tr>
      <w:tr>
        <w:trPr>
          <w:trHeight w:val="38"/>
        </w:trPr>
        <w:tc>
          <w:tcPr>
            <w:tcW w:w="57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 and capital loss carryforwards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205,706</w:t>
            </w:r>
          </w:p>
        </w:tc>
        <w:tc>
          <w:tcPr>
            <w:tcW w:w="8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173,444</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Credit carryforwards</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Fixed and intangible assets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20,339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18,698</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carryforward</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9,255</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358,266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271,865</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12,352</w:t>
            </w:r>
          </w:p>
        </w:tc>
      </w:tr>
      <w:tr>
        <w:trPr>
          <w:trHeight w:val="212"/>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652,275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510,312</w:t>
            </w: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Valuation allowance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(361,038)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(283,142)</w:t>
            </w:r>
          </w:p>
        </w:tc>
      </w:tr>
      <w:tr>
        <w:trPr>
          <w:trHeight w:val="212"/>
        </w:trPr>
        <w:tc>
          <w:tcPr>
            <w:tcW w:w="5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291,237</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227,170</w:t>
            </w:r>
          </w:p>
        </w:tc>
      </w:tr>
      <w:tr>
        <w:trPr>
          <w:trHeight w:val="38"/>
        </w:trPr>
        <w:tc>
          <w:tcPr>
            <w:tcW w:w="57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3"/>
        </w:trPr>
        <w:tc>
          <w:tcPr>
            <w:tcW w:w="5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8"/>
        </w:trPr>
        <w:tc>
          <w:tcPr>
            <w:tcW w:w="5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assets</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227,170</w:t>
            </w:r>
          </w:p>
        </w:tc>
      </w:tr>
      <w:tr>
        <w:trPr>
          <w:trHeight w:val="243"/>
        </w:trPr>
        <w:tc>
          <w:tcPr>
            <w:tcW w:w="5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deferred tax assets</w:t>
            </w: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6D6D6D"/>
              <w:bottom w:val="single" w:sz="8" w:color="6D6D6D"/>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80" w:type="dxa"/>
            <w:vAlign w:val="bottom"/>
          </w:tcPr>
          <w:p>
            <w:pPr>
              <w:spacing w:after="0"/>
              <w:rPr>
                <w:sz w:val="21"/>
                <w:szCs w:val="21"/>
                <w:color w:val="auto"/>
              </w:rPr>
            </w:pPr>
          </w:p>
        </w:tc>
        <w:tc>
          <w:tcPr>
            <w:tcW w:w="260" w:type="dxa"/>
            <w:vAlign w:val="bottom"/>
            <w:tcBorders>
              <w:top w:val="single" w:sz="8" w:color="6D6D6D"/>
              <w:bottom w:val="single" w:sz="8" w:color="6D6D6D"/>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5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bottom w:val="single" w:sz="8" w:color="6D6D6D"/>
            </w:tcBorders>
          </w:tcPr>
          <w:p>
            <w:pPr>
              <w:spacing w:after="0"/>
              <w:rPr>
                <w:sz w:val="2"/>
                <w:szCs w:val="2"/>
                <w:color w:val="auto"/>
              </w:rPr>
            </w:pPr>
          </w:p>
        </w:tc>
        <w:tc>
          <w:tcPr>
            <w:tcW w:w="1080" w:type="dxa"/>
            <w:vAlign w:val="bottom"/>
            <w:tcBorders>
              <w:bottom w:val="single" w:sz="8" w:color="6D6D6D"/>
            </w:tcBorders>
          </w:tcPr>
          <w:p>
            <w:pPr>
              <w:spacing w:after="0"/>
              <w:rPr>
                <w:sz w:val="2"/>
                <w:szCs w:val="2"/>
                <w:color w:val="auto"/>
              </w:rPr>
            </w:pPr>
          </w:p>
        </w:tc>
        <w:tc>
          <w:tcPr>
            <w:tcW w:w="100" w:type="dxa"/>
            <w:vAlign w:val="bottom"/>
            <w:tcBorders>
              <w:bottom w:val="single" w:sz="8" w:color="6D6D6D"/>
            </w:tcBorders>
          </w:tcPr>
          <w:p>
            <w:pPr>
              <w:spacing w:after="0"/>
              <w:rPr>
                <w:sz w:val="2"/>
                <w:szCs w:val="2"/>
                <w:color w:val="auto"/>
              </w:rPr>
            </w:pPr>
          </w:p>
        </w:tc>
        <w:tc>
          <w:tcPr>
            <w:tcW w:w="200" w:type="dxa"/>
            <w:vAlign w:val="bottom"/>
            <w:tcBorders>
              <w:bottom w:val="single" w:sz="8" w:color="6D6D6D"/>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6D6D6D"/>
            </w:tcBorders>
          </w:tcPr>
          <w:p>
            <w:pPr>
              <w:spacing w:after="0"/>
              <w:rPr>
                <w:sz w:val="2"/>
                <w:szCs w:val="2"/>
                <w:color w:val="auto"/>
              </w:rPr>
            </w:pPr>
          </w:p>
        </w:tc>
        <w:tc>
          <w:tcPr>
            <w:tcW w:w="1240" w:type="dxa"/>
            <w:vAlign w:val="bottom"/>
            <w:tcBorders>
              <w:bottom w:val="single" w:sz="8" w:color="6D6D6D"/>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Realization of the deferred tax assets is dependent upon future taxable income, the amount and timing of which is uncertain. Accordingly, the U.S. federal and state deferred tax assets have been fully offset by a valuation allowance. With the exception of operations in Canada, the Company’s foreign deferred tax assets are fully offset by a valuation allowance. The valuation allowance increased by approximately $77.9 million and $77.6 million during the years ended December 31, 2023, and 2022, respectively.</w:t>
      </w:r>
    </w:p>
    <w:p>
      <w:pPr>
        <w:spacing w:after="0" w:line="38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As of December 31, 2023, the Company had tax net operating loss carryforwards for U.S. federal, state, and foreign purposes of approximately $612.4 million, $507.5 million, and $203.3 million, respectively. As of December 31, 2022, the Company had tax net operating loss carryforwards for U.S. federal, state, and foreign purposes, and capital loss carryforwards for foreign purposes of approximately $520.5 million, $452.4 million, $165.5 million, and $62.0 million, respectively.</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Of the federal net operating loss carryforwards, $11.0 million will begin to expire in 2035, and $601.4 million will carry forward indefinitely. The state and foreign net operating loss carryforwards will begin to expire in 2027.</w:t>
      </w:r>
    </w:p>
    <w:p>
      <w:pPr>
        <w:spacing w:after="0" w:line="16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Utilization of the U.S. Federal and state net operating loss, tax credits, and disallowed business interest expense carryforwards is subject to an annual limitation due to the ownership change limitations provided by the U.S. Tax Code and similar state provisions. The annual limitation may result in the expiration of net operating losses and credits before utilization.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 has adopted authoritative guidance, which prescribes a recognition threshold and measurement attribute for the consolidated financial statement recognition and measurement of uncertain tax positions taken, or expected to be taken, in its income tax return, and also provides guidance on derecognition, classification, interest and penalties, accounting in interim periods, disclosure, and transition.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the total amounts of unrecognized tax benefits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8"/>
        </w:trPr>
        <w:tc>
          <w:tcPr>
            <w:tcW w:w="576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2"/>
        </w:trPr>
        <w:tc>
          <w:tcPr>
            <w:tcW w:w="5760" w:type="dxa"/>
            <w:vAlign w:val="bottom"/>
          </w:tcPr>
          <w:p>
            <w:pPr>
              <w:spacing w:after="0"/>
              <w:rPr>
                <w:sz w:val="18"/>
                <w:szCs w:val="18"/>
                <w:color w:val="auto"/>
              </w:rPr>
            </w:pP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8"/>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658"/>
              <w:spacing w:after="0"/>
              <w:rPr>
                <w:sz w:val="20"/>
                <w:szCs w:val="20"/>
                <w:color w:val="auto"/>
              </w:rPr>
            </w:pPr>
            <w:r>
              <w:rPr>
                <w:rFonts w:ascii="Times New Roman" w:cs="Times New Roman" w:eastAsia="Times New Roman" w:hAnsi="Times New Roman"/>
                <w:sz w:val="16"/>
                <w:szCs w:val="16"/>
                <w:color w:val="auto"/>
              </w:rPr>
              <w:t>2021</w:t>
            </w:r>
          </w:p>
        </w:tc>
      </w:tr>
      <w:tr>
        <w:trPr>
          <w:trHeight w:val="38"/>
        </w:trPr>
        <w:tc>
          <w:tcPr>
            <w:tcW w:w="576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9"/>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18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 tax positions related to prior years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38"/>
        </w:trPr>
        <w:tc>
          <w:tcPr>
            <w:tcW w:w="5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37"/>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 tax positions related to current year</w:t>
            </w:r>
          </w:p>
        </w:tc>
        <w:tc>
          <w:tcPr>
            <w:tcW w:w="1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9"/>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Subtraction: tax positions related to prior years</w:t>
            </w:r>
          </w:p>
        </w:tc>
        <w:tc>
          <w:tcPr>
            <w:tcW w:w="1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8"/>
        </w:trPr>
        <w:tc>
          <w:tcPr>
            <w:tcW w:w="5760" w:type="dxa"/>
            <w:vAlign w:val="bottom"/>
            <w:tcBorders>
              <w:bottom w:val="single" w:sz="8" w:color="CCEEFF"/>
            </w:tcBorders>
          </w:tcPr>
          <w:p>
            <w:pPr>
              <w:spacing w:after="0"/>
              <w:rPr>
                <w:sz w:val="3"/>
                <w:szCs w:val="3"/>
                <w:color w:val="auto"/>
              </w:rPr>
            </w:pPr>
          </w:p>
        </w:tc>
        <w:tc>
          <w:tcPr>
            <w:tcW w:w="1180" w:type="dxa"/>
            <w:vAlign w:val="bottom"/>
            <w:tcBorders>
              <w:bottom w:val="single" w:sz="8" w:color="6D6D6D"/>
            </w:tcBorders>
          </w:tcPr>
          <w:p>
            <w:pPr>
              <w:spacing w:after="0"/>
              <w:rPr>
                <w:sz w:val="3"/>
                <w:szCs w:val="3"/>
                <w:color w:val="auto"/>
              </w:rPr>
            </w:pPr>
          </w:p>
        </w:tc>
        <w:tc>
          <w:tcPr>
            <w:tcW w:w="580" w:type="dxa"/>
            <w:vAlign w:val="bottom"/>
            <w:tcBorders>
              <w:bottom w:val="single" w:sz="8" w:color="6D6D6D"/>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360" w:type="dxa"/>
            <w:vAlign w:val="bottom"/>
            <w:tcBorders>
              <w:bottom w:val="single" w:sz="8" w:color="6D6D6D"/>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6D6D6D"/>
            </w:tcBorders>
          </w:tcPr>
          <w:p>
            <w:pPr>
              <w:spacing w:after="0"/>
              <w:rPr>
                <w:sz w:val="3"/>
                <w:szCs w:val="3"/>
                <w:color w:val="auto"/>
              </w:rPr>
            </w:pPr>
          </w:p>
        </w:tc>
        <w:tc>
          <w:tcPr>
            <w:tcW w:w="1380" w:type="dxa"/>
            <w:vAlign w:val="bottom"/>
            <w:tcBorders>
              <w:bottom w:val="single" w:sz="8" w:color="6D6D6D"/>
            </w:tcBorders>
          </w:tcPr>
          <w:p>
            <w:pPr>
              <w:spacing w:after="0"/>
              <w:rPr>
                <w:sz w:val="3"/>
                <w:szCs w:val="3"/>
                <w:color w:val="auto"/>
              </w:rPr>
            </w:pPr>
          </w:p>
        </w:tc>
      </w:tr>
      <w:tr>
        <w:trPr>
          <w:trHeight w:val="26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180" w:type="dxa"/>
            <w:vAlign w:val="bottom"/>
            <w:tcBorders>
              <w:bottom w:val="single" w:sz="8" w:color="6D6D6D"/>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6D6D6D"/>
            </w:tcBorders>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6D6D6D"/>
            </w:tcBorders>
          </w:tcPr>
          <w:p>
            <w:pPr>
              <w:spacing w:after="0" w:line="20" w:lineRule="exact"/>
              <w:rPr>
                <w:sz w:val="1"/>
                <w:szCs w:val="1"/>
                <w:color w:val="auto"/>
              </w:rPr>
            </w:pPr>
          </w:p>
        </w:tc>
        <w:tc>
          <w:tcPr>
            <w:tcW w:w="58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6D6D6D"/>
            </w:tcBorders>
          </w:tcPr>
          <w:p>
            <w:pPr>
              <w:spacing w:after="0" w:line="20" w:lineRule="exact"/>
              <w:rPr>
                <w:sz w:val="1"/>
                <w:szCs w:val="1"/>
                <w:color w:val="auto"/>
              </w:rPr>
            </w:pPr>
          </w:p>
        </w:tc>
        <w:tc>
          <w:tcPr>
            <w:tcW w:w="1380" w:type="dxa"/>
            <w:vAlign w:val="bottom"/>
            <w:tcBorders>
              <w:top w:val="single" w:sz="8" w:color="CCEEFF"/>
              <w:bottom w:val="single" w:sz="8" w:color="6D6D6D"/>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files income tax returns in U.S. federal, various states, and international jurisdictions. All periods since inception are subject to examination by U.S. federal, state, and foreign authorities, where applicable. The Company is under examination by the Canada Revenue Agency (“CRA”) for the income tax returns filed for tax years ended December 31, 2018, and 2019. As of December 31, 2023, the examination is on-going, and no proposed adjustments have been provided by the CRA. There are currently no other pending income tax examinations. The Company’s 2019 through 2021 tax years remains subject to examination in the 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Related Party Transactions</w:t>
      </w:r>
    </w:p>
    <w:p>
      <w:pPr>
        <w:spacing w:after="0" w:line="23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 did not have any material related party transactions in the year ended December 31, 2023. Additionally, all related party transactions that occurred during the year ended December 31, 2022 occurred prior to the consummation of the Business Combination and were satisfied in full prior to the consummation of the Business Combination; as a result, no such related party balances were included on the Company’s consolidated balance sheets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Business Combination</w:t>
      </w:r>
    </w:p>
    <w:p>
      <w:pPr>
        <w:spacing w:after="0" w:line="23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January 18, 2022, the Company closed the previously announced Business Combination pursuant to the Agreement and Plan of Merger, dated April 29, 2021 (as amended by the Amendment No. 1 to the Agreement and Plan of Merger, dated as of October 27, 2021 (collectively, the “Merger Agreement”), by and among GMII, Sunshine Merger Sub I, Inc.,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Delaware corporation and a direct, wholly-owned subsidiary of Second Merger Sub, Sunshine Merger Sub II, LLC, a Delaware limited liability company and a direct, wholly-owned subsidiary of GMII, and Legacy Sonder.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Merger Agreement:</w:t>
      </w:r>
    </w:p>
    <w:p>
      <w:pPr>
        <w:spacing w:after="0" w:line="27" w:lineRule="exact"/>
        <w:rPr>
          <w:sz w:val="20"/>
          <w:szCs w:val="20"/>
          <w:color w:val="auto"/>
        </w:rPr>
      </w:pPr>
    </w:p>
    <w:p>
      <w:pPr>
        <w:jc w:val="both"/>
        <w:ind w:left="880" w:hanging="294"/>
        <w:spacing w:after="0" w:line="255" w:lineRule="auto"/>
        <w:tabs>
          <w:tab w:leader="none" w:pos="87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existing shares of Common Stock of Legacy Sonder, par value $0.000001 per share (the “Legacy Sonder Common Stock”) (following the conversion of each issued and outstanding share of Legacy Sonder’s preferred stock and the convertible promissory notes issued by Legacy Sonder to certain purchasers pursuant to the Note Purchase Agreement, dated March 12, 2021, as amended, into shares of Legacy Sonder Common Stock prior to the effective time of the First Merger), received approximately 7,027,202 shares of the Company’s Common Stock, pursuant to the recapitalization exchange ratio of 1.4686 shares for each share of Legacy Sonder Common Stock held;</w:t>
      </w:r>
    </w:p>
    <w:p>
      <w:pPr>
        <w:spacing w:after="0" w:line="2" w:lineRule="exact"/>
        <w:rPr>
          <w:rFonts w:ascii="Times New Roman" w:cs="Times New Roman" w:eastAsia="Times New Roman" w:hAnsi="Times New Roman"/>
          <w:sz w:val="16"/>
          <w:szCs w:val="16"/>
          <w:color w:val="auto"/>
        </w:rPr>
      </w:pPr>
    </w:p>
    <w:p>
      <w:pPr>
        <w:jc w:val="both"/>
        <w:ind w:left="880" w:hanging="294"/>
        <w:spacing w:after="0" w:line="255" w:lineRule="auto"/>
        <w:tabs>
          <w:tab w:leader="none" w:pos="87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existing shares of Special Voting Series AA Common Stock, par value $0.000001 per share (“Legacy Sonder Special Voting Common Stock”), received approximately 1,616,767 shares of the newly created Post-Combination Special Voting Common Stock, par value $0.0001 per share (“Post-Combination Special Voting Common Stock”), pursuant to the recapitalization exchange ratio of 1.4686 shares for each share of Legacy Sonder Special Voting Common Stock held;</w:t>
      </w:r>
    </w:p>
    <w:p>
      <w:pPr>
        <w:spacing w:after="0" w:line="1" w:lineRule="exact"/>
        <w:rPr>
          <w:rFonts w:ascii="Times New Roman" w:cs="Times New Roman" w:eastAsia="Times New Roman" w:hAnsi="Times New Roman"/>
          <w:sz w:val="16"/>
          <w:szCs w:val="16"/>
          <w:color w:val="auto"/>
        </w:rPr>
      </w:pPr>
    </w:p>
    <w:p>
      <w:pPr>
        <w:jc w:val="both"/>
        <w:ind w:left="880" w:hanging="294"/>
        <w:spacing w:after="0" w:line="255" w:lineRule="auto"/>
        <w:tabs>
          <w:tab w:leader="none" w:pos="87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Series AA Common Exchangeable Preferred Shares (“Legacy Sonder Canada Exchangeable Common Shares”) of Sonder Canada Inc., a corporation existing under the laws of the province of Québec (“Legacy Sonder Canada”) received Post-Combination Exchangeable Common Stock whose terms provide: (i) for a deferral of any mandatory exchange caused by the Business Combination for a period of at least 12 months from the closing date of the Business Combination, and (ii) that such Post-Combination Exchangeable Common Stock shall be exchangeable for Common Stock upon the completion of the Business Combination; and</w:t>
      </w:r>
    </w:p>
    <w:p>
      <w:pPr>
        <w:spacing w:after="0" w:line="2" w:lineRule="exact"/>
        <w:rPr>
          <w:rFonts w:ascii="Times New Roman" w:cs="Times New Roman" w:eastAsia="Times New Roman" w:hAnsi="Times New Roman"/>
          <w:sz w:val="16"/>
          <w:szCs w:val="16"/>
          <w:color w:val="auto"/>
        </w:rPr>
      </w:pPr>
    </w:p>
    <w:p>
      <w:pPr>
        <w:jc w:val="both"/>
        <w:ind w:left="880" w:hanging="294"/>
        <w:spacing w:after="0" w:line="271" w:lineRule="auto"/>
        <w:tabs>
          <w:tab w:leader="none" w:pos="87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options to purchase Legacy Sonder Common Stock (“Legacy Sonder Stock Options”) received options to acquire approximately 1,526,777 shares of Company’s Common Stock (“Rollover Options”), pursuant to the option exchange ratio of 1.5444 shares for each share of Legacy Sonder Stock Options held.</w:t>
      </w:r>
    </w:p>
    <w:p>
      <w:pPr>
        <w:spacing w:after="0" w:line="3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As a result of the above, the share figures in the consolidated statement of mezzanine equity and stockholders’ deficit for the year ended December 31, 2022 have been adjusted for the application of the recapitalization exchange ratio of 1.4686 per share. In addition, all options were adjusted for the option exchange ratio of 1.5444 shares for each share of Legacy Sonder Stock Options held.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to the consideration paid upon consummation of the Business Combination, immediately prior to consummation of the Business Combination, holders of Legacy Sonder Common Stock, Legacy Sonder Canada Exchangeable Common Shares, and warrants of Legacy Sonder were entitled to receive their pro-rata share of up to an aggregate of 725,000 additional shares of Common Stock as consideration as a result of the Common Stock achieving certain benchmark share prices as contemplated by the Merger Agreement.</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Business Combination was accounted for as a reverse recapitalization. Under this method of accounting, GMII was treated as the acquired company for financial statement reporting purposes. Following consummation of the Business Combination, the Company’s Common Stock and the Company’s Public Warrants began trading on the Nasdaq Global Select Market under the symbols “SOND” and “SONDW,”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Closing of Private Investment in Public Equity (“PIPE”) Investments</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Pursuant to subscription agreements entered into in connection with the Merger Agreement, certain investors agreed to subscribe for an aggregate of 1,610,839 newly issued shares of Class A Stock (which became common stock upon the effectiveness of the Amended and Restated Certificate of Incorporation) for a purchase price of $309.4 million (the “PIPE Investment”). Upon consummation of the Business Combination, the Company consummated the PIPE Investment.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following table reconciles the elements of the Business Combination to the consolidated statement of cash flows and the consolidated statement of stockholders’ deficit for the year ended December 31, 2022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 PIPE Financing</w:t>
            </w:r>
          </w:p>
        </w:tc>
        <w:tc>
          <w:tcPr>
            <w:tcW w:w="60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309,398</w:t>
            </w:r>
          </w:p>
        </w:tc>
      </w:tr>
      <w:tr>
        <w:trPr>
          <w:trHeight w:val="219"/>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 GMII trust and cash, net of redemptions</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16,530</w:t>
            </w:r>
          </w:p>
        </w:tc>
      </w:tr>
      <w:tr>
        <w:trPr>
          <w:trHeight w:val="38"/>
        </w:trPr>
        <w:tc>
          <w:tcPr>
            <w:tcW w:w="9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transaction costs and advisory fees</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(58,555)</w:t>
            </w:r>
          </w:p>
        </w:tc>
      </w:tr>
      <w:tr>
        <w:trPr>
          <w:trHeight w:val="212"/>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Business Combination and PIPE</w:t>
            </w:r>
          </w:p>
        </w:tc>
        <w:tc>
          <w:tcPr>
            <w:tcW w:w="60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267,373</w:t>
            </w:r>
          </w:p>
        </w:tc>
      </w:tr>
      <w:tr>
        <w:trPr>
          <w:trHeight w:val="38"/>
        </w:trPr>
        <w:tc>
          <w:tcPr>
            <w:tcW w:w="9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6"/>
        </w:trPr>
        <w:tc>
          <w:tcPr>
            <w:tcW w:w="9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Delayed Draw Notes, net of issuance costs</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159,225</w:t>
            </w:r>
          </w:p>
        </w:tc>
      </w:tr>
      <w:tr>
        <w:trPr>
          <w:trHeight w:val="38"/>
        </w:trPr>
        <w:tc>
          <w:tcPr>
            <w:tcW w:w="9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7"/>
        </w:trPr>
        <w:tc>
          <w:tcPr>
            <w:tcW w:w="9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debt</w:t>
            </w:r>
          </w:p>
        </w:tc>
        <w:tc>
          <w:tcPr>
            <w:tcW w:w="6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Business Combination, PIPE, and Delayed Draw Notes</w:t>
            </w:r>
          </w:p>
        </w:tc>
        <w:tc>
          <w:tcPr>
            <w:tcW w:w="600" w:type="dxa"/>
            <w:vAlign w:val="bottom"/>
            <w:tcBorders>
              <w:top w:val="single" w:sz="8" w:color="6D6D6D"/>
              <w:bottom w:val="single" w:sz="8" w:color="6D6D6D"/>
            </w:tcBorders>
          </w:tcPr>
          <w:p>
            <w:pPr>
              <w:jc w:val="right"/>
              <w:ind w:right="41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6D6D6D"/>
              <w:bottom w:val="single" w:sz="8" w:color="6D6D6D"/>
            </w:tcBorders>
          </w:tcPr>
          <w:p>
            <w:pPr>
              <w:jc w:val="right"/>
              <w:spacing w:after="0"/>
              <w:rPr>
                <w:sz w:val="20"/>
                <w:szCs w:val="20"/>
                <w:color w:val="auto"/>
              </w:rPr>
            </w:pPr>
            <w:r>
              <w:rPr>
                <w:rFonts w:ascii="Times New Roman" w:cs="Times New Roman" w:eastAsia="Times New Roman" w:hAnsi="Times New Roman"/>
                <w:sz w:val="16"/>
                <w:szCs w:val="16"/>
                <w:color w:val="auto"/>
              </w:rPr>
              <w:t>401,918</w:t>
            </w:r>
          </w:p>
        </w:tc>
      </w:tr>
      <w:tr>
        <w:trPr>
          <w:trHeight w:val="23"/>
        </w:trPr>
        <w:tc>
          <w:tcPr>
            <w:tcW w:w="9540" w:type="dxa"/>
            <w:vAlign w:val="bottom"/>
          </w:tcPr>
          <w:p>
            <w:pPr>
              <w:spacing w:after="0"/>
              <w:rPr>
                <w:sz w:val="2"/>
                <w:szCs w:val="2"/>
                <w:color w:val="auto"/>
              </w:rPr>
            </w:pPr>
          </w:p>
        </w:tc>
        <w:tc>
          <w:tcPr>
            <w:tcW w:w="600" w:type="dxa"/>
            <w:vAlign w:val="bottom"/>
            <w:tcBorders>
              <w:bottom w:val="single" w:sz="8" w:color="6D6D6D"/>
            </w:tcBorders>
          </w:tcPr>
          <w:p>
            <w:pPr>
              <w:spacing w:after="0"/>
              <w:rPr>
                <w:sz w:val="2"/>
                <w:szCs w:val="2"/>
                <w:color w:val="auto"/>
              </w:rPr>
            </w:pPr>
          </w:p>
        </w:tc>
        <w:tc>
          <w:tcPr>
            <w:tcW w:w="1120" w:type="dxa"/>
            <w:vAlign w:val="bottom"/>
            <w:tcBorders>
              <w:bottom w:val="single" w:sz="8" w:color="6D6D6D"/>
            </w:tcBorders>
          </w:tcPr>
          <w:p>
            <w:pPr>
              <w:spacing w:after="0"/>
              <w:rPr>
                <w:sz w:val="2"/>
                <w:szCs w:val="2"/>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Restructuring Activities</w:t>
      </w:r>
    </w:p>
    <w:p>
      <w:pPr>
        <w:spacing w:after="0" w:line="23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June 9, 2022, the Company announced its Cash Flow Positive Plan, including a restructuring of its operations which resulted in an approximate 21.0% reduction of existing corporate roles and 7.0% reduction of existing frontline roles. As part of this restructuring, the Company incurred $4.0 million in one-time restructuring costs, all of which had been paid out as of December 31, 2023.</w:t>
      </w:r>
    </w:p>
    <w:p>
      <w:pPr>
        <w:spacing w:after="0" w:line="18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On March 1, 2023, the Company announced a restructuring plan affecting approximately 14.0% of the corporate workforce. As part of this restructuring, the Company incurred $2.1 million in one-time restructuring costs for the year ended December 31, 2023, all of which was paid out as of December 31,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restructuring costs are included in restructuring and other charges in the consolidated statements of operations and comprehensive loss.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Subsequent Events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Reduction in Force (Unaudited)</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February 20, 2024, the Company announced a reduction in force plan affecting 106 corporate roles, or 17% of the corporate workforce, which is estimated to lead to approximately $11 million in annualized cost savings. We substantially completed these efforts during the first quarter of 2024. Total costs and cash expenditures were approximately $3 million, primarily related to employee severance and benefits costs, and were recognized and paid in the first quarter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Delayed Draw Notes Purchase Agreement Amendments</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On June 10, 2024, the Company entered into the Third Notes Amendment to the Delayed Draw Notes Purchase Agreement which provides for (i) a permanent waiver of any non-compliance resulting from certain waived matters, (ii) the limited forbearance of certain rights and remedies available under the transaction documents, (iii) the amendment of certain financial covenants, and (iv) additional commitments with an aggregate principal amount of $10 million. In addition, purchasers of the Delayed Draw Notes also received detachable warrants (the “Warrants”) to purchase an aggregate of 475,264 shares of the Company’s Common Stock, each with an exercise price of $0.01 per share and an expiration date five years after the issuance date, and previously issued warrants to Delayed Draw Notes purchasers were canceled. Furthermore, the purchasers of Delayed Draw Notes were also provided with customary registration rights for shares issuable upon exercise of the newly issued Warrants. Subsequently, on June 10, 2024, the Company issued in a single draw an aggregate of $10 million of Delayed Draw Notes along with the aforementioned Warrants. The Company plans to use the proceeds for general corporate purposes.</w:t>
      </w:r>
    </w:p>
    <w:p>
      <w:pPr>
        <w:spacing w:after="0" w:line="18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On July 12, 2024, the Company entered into the Fourth Notes Amendment to the Delayed Draw Notes Purchase Agreement which provided for additional commitments with an aggregate principal amount of up to $6 million issuable at the Company’s election. On July 12, 2024, the Company issued the full additional commitment of $6 million of delayed draw subordinated secured notes. The Company plans to use the proceeds for general corporate purposes.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August 13, 2024, the Company entered into the Fifth Notes Amendment to the Delayed Draw Notes Purchase Agreement which (i) extends the maturity date of all outstanding Delayed Draw Notes to December 10, 2027, (ii) extends the PIK interest payments through March 31, 2025, and at the option of the Delayed Draw Notes obligors further extends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the PIK interest payments through December 31, 2026, and (iii) provides for additional commitments with an aggregate principal amount of up to $4 million. On August 13, 2024, the Company issued the full $4 million of Delayed Draw Notes. The Company plans to use the proceeds for general corporate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2022 Loan and Security Agreement Amendments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June 10, 2024, the Company entered into an amendment (the “SVB Amendment”), by the Borrowers and SVB, which amended the Loan Agreement. Among other things, the SVB Amendment provided for (i) SVB’s consent with respect to the Notes Amendment, and (ii) a permanent waiver of any non-compliance resulting from certain waived matters.</w:t>
      </w:r>
    </w:p>
    <w:p>
      <w:pPr>
        <w:spacing w:after="0" w:line="16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On July 12, 2024, the Company entered into a further amendment to the Loan Agreement with SVB, which provided, among other things, for SVB’s consent with respect to the Fourth Notes Amendment described above.</w:t>
      </w:r>
    </w:p>
    <w:p>
      <w:pPr>
        <w:spacing w:after="0" w:line="1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On September 26, 2024, the Company entered into a Waiver Agreement (the “SVB Waiver”), by and among the Borrowers and SVB, in which SVB waived any Default or Event of Default each as defined in the Loan Agreement by and among the Borrowers and SVB related to the going concern explanatory paragraph.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Lawsuit Settlements</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On July 24, 2024, the Company favorably settled two lawsuits related to certain property leases for a total of $7.5 million payable in three tranches of $2.5 million each. The Company received the first tranche in July 2024 with the remaining two payments forthcoming in 2025. The Company will recognize the settlement income when it is realized and earned accordingly in the periods of payment receipt.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Marriott License Agreement</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August 13, 2024, the Company entered into a License Agreement (the “Marriott Agreement”) with Marriott International, Inc. and Global Hospitality Licensing S.À R.L (together, “Marriott”), whereby the Company’s portfolio of properties is expected to join the Marriott system under a newly-created collection called “Sonder by Marriott Bonvoy.” Under the Marriott Agreement, the Company’s properties will become available for booking on Marriott’s digital platforms, including Marriott.com and the Marriott Bonvoy mobile app, and the Company will also gain access to Marriott’s global sales and marketing capabilities and distribution platform.</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initial term of the Marriott Agreement will expire 20 years after the Initial Onboarding Date, the date upon which our properties are integrated into the Marriott platform and systems, and is expected to be in the first quarter of 2025, and provides for extensions for two consecutive five-year renewal terms. The Marriott Agreement also includes other rights and provisions related to the term of the agreement.</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Company must comply with certain Marriott standards, including, among others, those related to data privacy, cyber security, fire protection and life safety, third-party distributions and use of intellectual property, and customary franchise terms, conditions and requirements, but our properties will otherwise generally follow the Company’s design, maintenance, renovation, and operating standards.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consideration of the services and the license provided to the Company by Marriott, beginning on the Initial Onboarding Date, the Company will pay Marriott a royalty fee that increases over the first few years, up to a specified maximum, and various other fees, charges, and costs. The Company and Marriott will each pay its own technology and systems integration and launch costs.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Subject to the Company providing Marriott with reasonably satisfactory evidence that the Company has funded the Holistic Capital Solution (as defined in the Marriott Agreement) and there being no monetary, bankruptcy related or exclusivity default by the Company under the Marriott Agreement, Marriott will provide the Company with $15 million of Key Money in two tranches by March 31, 2025. If the Marriott Agreement is terminated for any reason, the Company must reimburse Marriott, before the effective date of the termination, the Unamortized Key Money.</w:t>
      </w:r>
    </w:p>
    <w:p>
      <w:pPr>
        <w:spacing w:after="0" w:line="1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During the first two years of the Marriott Agreement term, Marriott has agreed not to open any properties pursuant to an agreement for a Platform Transaction with certain specified Company competitors, subject to certain exclusions. For the duration of the term, subject to standard terms and processes, Marriott has agreed that it will designate the Company as an approved operator for the Apartments by Marriott Bonvoy brand worldwide. Also for the duration of the Marriott Agreement term, the Company has agreed not to open any Lodging Facility, unless the Company first proposes that it be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included under the Marriott Agreement and Marriott confirms it is restricted from being included, in which case, the exclusivity will not apply so long as any third-party that the Company contracts with regarding such opening is not a Marriott Competitor.</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Following the five year anniversary of the Marriott Agreement, the Company and Marriott will each have the right to terminate the agreement upon notice to the other party and payment of a termination fee and unamortized key money upon any transfer (or series of transfers) of: (i) 50% of more of the direct or indirect ownership interests in the Company to any Non-Controlled Person; (ii) 50% or more of the Company’s direct or indirect ownership interests in all of the Properties to any Non-Controlled Person; or (iii) the right to control the day-to-day management or operations of the Company or each Company party that owns, leases or operates a Property to any Non-Controlled Person.</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terms used but not defined in the foregoing description of the Marriott Agreement have the meanings ascribed to them in the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Series A Preferred Stock Issuance and Related Agreements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Purchase Agreements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August 13, 2024, the Company entered into Securities Purchase Agreements (the “Securities Purchase Agreements”) with certain qualified institutional buyers or accredited investors (collectively, the “Purchasers”) (the “Private Placement”) of an aggregate of 43.3 million newly issued shares of Series A Convertible Preferred Stock, par value $0.0001 per share (the “Preferred Stock”), in exchange for cash consideration in an aggregate amount of approximately $43.3 million. The sale of the Preferred Stock pursuant to the Securities Purchase Agreements will take place in two tranches, with the first tranche, comprised of approximately 14.7 million shares of preferred stock for an aggregate purchase price of approximately $14.7 million, that closed on August 13, 2024 and the second tranche, comprised of approximately 28.6 million shares of preferred stock for an aggregate purchase price of approximately $28.6 million, closing upon the satisfaction of certain closing conditions set forth in the Securities Purchase Agreements, including the Company filing this Annual Report on Form 10-K and its Quarterly Reports on Form 10-Q for the fiscal quarters ended March 31, 2024 and June 30, 2024 (together, the “SEC Documents”).</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The shares of Preferred Stock issued and sold in the Private Placement are being issued and sold in reliance upon an exemption from the registration requirements of the Securities Act pursuant to Section 4(a)(2) thereof and Rule 506(b) thereunder.</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 portion of the Preferred Stock is immediately convertible into approximately 2.2 million shares of the Company’s common stock, par value $0.0001 per share (the “Common Stock”). Following receipt of Stockholder Approval (as defined below), all 43.3 million shares of the Preferred Stock will be convertible into shares of Common Stock.</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Securities Purchase Agreements require the Company to hold a special meeting of stockholders within 30 calendar days of the filing of the SEC Documents for the purpose of obtaining stockholder approval of proposals to issue shares of Common Stock to the Purchasers in connection with the conversion of the Preferred Stock into Common Stock that would, absent such approval, violate Nasdaq Rules 5635(b), (c) and (d) (the “Stockholder Approval”). The Securities Purchase Agreements also require the Company to file a registration statement under the Securities Act of 1933, as amended (the “Securities Act”), within 30 calendar days of the filing of the SEC Documents with respect to the resale of shares of Common Stock receivable upon conversion of the Preferred Stock.</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Francis Davidson, the Company’s Chief Executive Officer and Chairman of the Company’s Board of Directors, and Sanjay Banker, a member of the Company’s Board of Directors, are parties to Securities Purchase Agreements, with commitments of approximately $1,500,000, and $100,000, respectively, in the Private Placement. Mr. Davidson and Mr. Banker have each agreed that they may not convert any shares of Preferred Stock to Common Stock prior to the Company’s receipt of stockholder approval pursuant to Nasdaq Rule 5635(c).</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Securities Purchase Agreements grant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Securities Purchase Agreements contain other representations, warranties and covenants of the Company and the Purchasers.</w:t>
      </w:r>
    </w:p>
    <w:p>
      <w:pPr>
        <w:spacing w:after="0" w:line="2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Certificate of Designation; Other Terms of Preferred Stock</w:t>
      </w:r>
    </w:p>
    <w:p>
      <w:pPr>
        <w:spacing w:after="0" w:line="234"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In connection with the Private Placement, the Company filed the Certificate of Designation (the “Certificate of Designation”) creating the Preferred Stock and establishing the rights, preferences and other terms of the Preferred Stock. The Preferred Stock ranks senior to the Common Stock with respect to the payment of dividends and distribution of assets upon liquidation, dissolution and winding up, and has a liquidation preference equal to the original issue price of $1.00 per share of Preferred Stock, as adjusted for any stock dividends, splits, combinations and similar events on the Preferred Stock.</w:t>
      </w:r>
    </w:p>
    <w:p>
      <w:pPr>
        <w:spacing w:after="0" w:line="185"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Holders of the Preferred Stock are entitled to receive, when, as and if declared by the board of directors of the Company, cumulative dividends in cash (subject to certain conditions), at a rate of (a) fifteen percent (15.00%) from August 13, 2024 through August 13, 2025, (b) ten percent (10.00%) from August 14, 2025 through August 13, 2027, and (c) five percent (5.00%) from August 14, 2027 through August 13, 2028 on the sum of (i) the liquidation preference per share of Preferred Stock and (ii) all accumulated and unpaid dividends (if any), payable quarterly, in arrears. Dividends accumulate on a daily basis from the most recent date as to which dividends have been paid, or, if no dividends have been paid, from the date of issuance of such shares of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(i) the date that the Company publicly reports that it has realized at least $87 million of free cash flow (representing cash used in operating activities plus cash used in investing activities) over a twelve month period; or (ii) August 13, 2028.</w:t>
      </w:r>
    </w:p>
    <w:p>
      <w:pPr>
        <w:spacing w:after="0" w:line="193"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The Preferred Stock has no stated maturity and will remain outstanding indefinitely unless converted into Common Stock. The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Preferred Stock.</w:t>
      </w:r>
    </w:p>
    <w:p>
      <w:pPr>
        <w:spacing w:after="0" w:line="188"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In the event of a Fundamental Change (as defined in the Certificate of Designation), any holder of Preferred Stock may require the Company to redeem all or any portion of its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spacing w:after="0" w:line="185"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6"/>
          <w:szCs w:val="16"/>
          <w:color w:val="auto"/>
        </w:rPr>
        <w:t>Until the Company has obtained the requisite Stockholder Approval, the holders of the Preferred Stock will not have any right to vote together with any other class of stock on any matters. Once the Stockholder Approval is obtained, holders of the Preferred Stock will be entitled to vote on an as-converted-to-Common-Stock basis as provided in the Certificate of Designation, have full voting rights and powers equal to the voting rights and powers of the holders of the Common Stock, and will be entitled to vote together with the Common Stock with respect to any question upon which holders of Common Stock have the right to vote. In addition, approval of holders of 70% of the shares of Preferred Stock is required to among other things (i) alter or change the terms of the Preferred Stock or of any other capital stock of the Company so as to affect adversely the Preferred Stock, (ii) create, authorize the creation of, or issue any Senior Securities or Parity Securities (as such terms are defined in the Certificate of Designation) to the Preferred Stock as to dividend, redemption or distribution of assets upon a Fundamental Change, (iii) increase or decrease the authorized number of shares of Preferred Stock, (iv) other than in connection with the Stockholder Approval, prior to July 1, 2025 increase the number of authorized shares of Common Stock,</w:t>
      </w:r>
    </w:p>
    <w:p>
      <w:pPr>
        <w:ind w:left="2" w:hanging="2"/>
        <w:spacing w:after="0" w:line="271" w:lineRule="auto"/>
        <w:tabs>
          <w:tab w:leader="none" w:pos="23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more than a number of shares of Common Stock set forth in the Certificate of Designation prior to July 1, 2025, or (vi) issue any Preferred Stock except pursuant to the terms of the Securities Purchase Agreements.</w:t>
      </w:r>
    </w:p>
    <w:p>
      <w:pPr>
        <w:spacing w:after="0" w:line="17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19. Restatement of Quarterly Results (Unaudited)</w:t>
      </w:r>
    </w:p>
    <w:p>
      <w:pPr>
        <w:spacing w:after="0" w:line="236"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As further described in Note 2, the previously reported financial information for the quarters ended March 31, 2023, June 30, 2023, September 30, 2023, and the 2022 periods have been restated. Relevant restated financial information for these quarter end periods is included in the tables that follow. The unaudited interim financial statements reflect all adjustments which are, in the opinion of management, necessary for a fair statement of the results for the interim periods presented.</w:t>
      </w:r>
    </w:p>
    <w:p>
      <w:pPr>
        <w:spacing w:after="0" w:line="200" w:lineRule="exact"/>
        <w:rPr>
          <w:sz w:val="20"/>
          <w:szCs w:val="20"/>
          <w:color w:val="auto"/>
        </w:rPr>
      </w:pPr>
    </w:p>
    <w:p>
      <w:pPr>
        <w:spacing w:after="0" w:line="29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53" w:name="page154"/>
    <w:bookmarkEnd w:id="15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2" w:right="20"/>
        <w:spacing w:after="0" w:line="291" w:lineRule="auto"/>
        <w:rPr>
          <w:sz w:val="20"/>
          <w:szCs w:val="20"/>
          <w:color w:val="auto"/>
        </w:rPr>
      </w:pPr>
      <w:r>
        <w:rPr>
          <w:rFonts w:ascii="Times New Roman" w:cs="Times New Roman" w:eastAsia="Times New Roman" w:hAnsi="Times New Roman"/>
          <w:sz w:val="16"/>
          <w:szCs w:val="16"/>
          <w:color w:val="auto"/>
        </w:rPr>
        <w:t>Restated amounts are computed independently each quarter; therefore, the sum of the quarterly amounts may not equal the total amount for the respective year due to rounding.</w:t>
      </w:r>
    </w:p>
    <w:p>
      <w:pPr>
        <w:spacing w:after="0" w:line="166" w:lineRule="exact"/>
        <w:rPr>
          <w:sz w:val="20"/>
          <w:szCs w:val="20"/>
          <w:color w:val="auto"/>
        </w:rPr>
      </w:pPr>
    </w:p>
    <w:p>
      <w:pPr>
        <w:ind w:left="2" w:right="720"/>
        <w:spacing w:after="0" w:line="291" w:lineRule="auto"/>
        <w:rPr>
          <w:sz w:val="20"/>
          <w:szCs w:val="20"/>
          <w:color w:val="auto"/>
        </w:rPr>
      </w:pPr>
      <w:r>
        <w:rPr>
          <w:rFonts w:ascii="Times New Roman" w:cs="Times New Roman" w:eastAsia="Times New Roman" w:hAnsi="Times New Roman"/>
          <w:sz w:val="16"/>
          <w:szCs w:val="16"/>
          <w:color w:val="auto"/>
        </w:rPr>
        <w:t>Presented below are the restated condensed consolidated balance sheets, condensed consolidated statements of operations and comprehensive loss and condensed consolidated statements of cash flows for each of the restated quarters.</w:t>
      </w:r>
    </w:p>
    <w:p>
      <w:pPr>
        <w:spacing w:after="0" w:line="16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45"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31, 2023</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217,968</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28,436</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246,404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246,404</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271,230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271,473</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32,485</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1,151,755</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0" w:type="dxa"/>
            <w:vAlign w:val="bottom"/>
          </w:tcPr>
          <w:p>
            <w:pPr>
              <w:spacing w:after="0"/>
              <w:rPr>
                <w:sz w:val="1"/>
                <w:szCs w:val="1"/>
                <w:color w:val="auto"/>
              </w:rPr>
            </w:pPr>
          </w:p>
        </w:tc>
      </w:tr>
      <w:tr>
        <w:trPr>
          <w:trHeight w:val="243"/>
        </w:trPr>
        <w:tc>
          <w:tcPr>
            <w:tcW w:w="66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1,521,460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(52,701)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1,468,759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16,656</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58,424</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166,895</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279,666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289,380</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1,156,913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1,173,558</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179,665</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1,618,287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1,644,714</w:t>
            </w:r>
          </w:p>
        </w:tc>
        <w:tc>
          <w:tcPr>
            <w:tcW w:w="0" w:type="dxa"/>
            <w:vAlign w:val="bottom"/>
          </w:tcPr>
          <w:p>
            <w:pPr>
              <w:spacing w:after="0"/>
              <w:rPr>
                <w:sz w:val="1"/>
                <w:szCs w:val="1"/>
                <w:color w:val="auto"/>
              </w:rPr>
            </w:pPr>
          </w:p>
        </w:tc>
      </w:tr>
      <w:tr>
        <w:trPr>
          <w:trHeight w:val="127"/>
        </w:trPr>
        <w:tc>
          <w:tcPr>
            <w:tcW w:w="6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959,809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959,809</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9,613</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(1,066,985)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(1,145,378)</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(96,827)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(79,128)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(175,955)</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1,521,460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80" w:type="dxa"/>
            <w:vAlign w:val="bottom"/>
            <w:gridSpan w:val="7"/>
          </w:tcPr>
          <w:p>
            <w:pPr>
              <w:jc w:val="center"/>
              <w:ind w:right="118"/>
              <w:spacing w:after="0"/>
              <w:rPr>
                <w:sz w:val="20"/>
                <w:szCs w:val="20"/>
                <w:color w:val="auto"/>
              </w:rPr>
            </w:pPr>
            <w:r>
              <w:rPr>
                <w:rFonts w:ascii="Times New Roman" w:cs="Times New Roman" w:eastAsia="Times New Roman" w:hAnsi="Times New Roman"/>
                <w:sz w:val="16"/>
                <w:szCs w:val="16"/>
                <w:color w:val="auto"/>
              </w:rPr>
              <w:t>Three months ended March 31,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6"/>
        </w:trPr>
        <w:tc>
          <w:tcPr>
            <w:tcW w:w="6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120,738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119,503</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91,813</w:t>
            </w: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53,510</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32,471</w:t>
            </w: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15,667</w:t>
            </w:r>
          </w:p>
        </w:tc>
      </w:tr>
      <w:tr>
        <w:trPr>
          <w:trHeight w:val="251"/>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r>
      <w:tr>
        <w:trPr>
          <w:trHeight w:val="256"/>
        </w:trPr>
        <w:tc>
          <w:tcPr>
            <w:tcW w:w="66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201,973</w:t>
            </w:r>
          </w:p>
        </w:tc>
      </w:tr>
      <w:tr>
        <w:trPr>
          <w:trHeight w:val="212"/>
        </w:trPr>
        <w:tc>
          <w:tcPr>
            <w:tcW w:w="66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(82,470)</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3"/>
        </w:trPr>
        <w:tc>
          <w:tcPr>
            <w:tcW w:w="6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w:t>
            </w: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(81,809)</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(86,431)</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(81,865)</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(89,068)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(85,279)</w:t>
            </w:r>
          </w:p>
        </w:tc>
      </w:tr>
      <w:tr>
        <w:trPr>
          <w:trHeight w:val="23"/>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8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320" w:type="dxa"/>
            <w:vAlign w:val="bottom"/>
            <w:gridSpan w:val="5"/>
          </w:tcPr>
          <w:p>
            <w:pPr>
              <w:ind w:left="16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2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Three months ended March 31, 2023</w:t>
            </w:r>
          </w:p>
        </w:tc>
        <w:tc>
          <w:tcPr>
            <w:tcW w:w="1040" w:type="dxa"/>
            <w:vAlign w:val="bottom"/>
          </w:tcPr>
          <w:p>
            <w:pPr>
              <w:spacing w:after="0"/>
              <w:rPr>
                <w:sz w:val="21"/>
                <w:szCs w:val="21"/>
                <w:color w:val="auto"/>
              </w:rPr>
            </w:pPr>
          </w:p>
        </w:tc>
      </w:tr>
      <w:tr>
        <w:trPr>
          <w:trHeight w:val="25"/>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As Previously</w:t>
            </w:r>
          </w:p>
        </w:tc>
        <w:tc>
          <w:tcPr>
            <w:tcW w:w="18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Restatement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Reported</w:t>
            </w:r>
          </w:p>
        </w:tc>
        <w:tc>
          <w:tcPr>
            <w:tcW w:w="18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21"/>
                <w:szCs w:val="21"/>
                <w:color w:val="auto"/>
              </w:rPr>
            </w:pP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1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(86,431)</w:t>
            </w:r>
          </w:p>
        </w:tc>
        <w:tc>
          <w:tcPr>
            <w:tcW w:w="1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4,566</w:t>
            </w:r>
          </w:p>
        </w:tc>
        <w:tc>
          <w:tcPr>
            <w:tcW w:w="80" w:type="dxa"/>
            <w:vAlign w:val="bottom"/>
          </w:tcPr>
          <w:p>
            <w:pPr>
              <w:spacing w:after="0"/>
              <w:rPr>
                <w:sz w:val="17"/>
                <w:szCs w:val="17"/>
                <w:color w:val="auto"/>
              </w:rPr>
            </w:pP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(81,865)</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7,048</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10,800</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45,627</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Gain on foreign exchange</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(2,311)</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6,345</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368</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110</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(1,498)</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622</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3,055</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332</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1,989</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16,703</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(38,302)</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77</w:t>
            </w:r>
          </w:p>
        </w:tc>
      </w:tr>
      <w:tr>
        <w:trPr>
          <w:trHeight w:val="195"/>
        </w:trPr>
        <w:tc>
          <w:tcPr>
            <w:tcW w:w="47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(35,492)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(35,343)</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(6,297)</w:t>
            </w:r>
          </w:p>
        </w:tc>
      </w:tr>
      <w:tr>
        <w:trPr>
          <w:trHeight w:val="29"/>
        </w:trPr>
        <w:tc>
          <w:tcPr>
            <w:tcW w:w="478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w:t>
            </w:r>
          </w:p>
        </w:tc>
      </w:tr>
      <w:tr>
        <w:trPr>
          <w:trHeight w:val="195"/>
        </w:trPr>
        <w:tc>
          <w:tcPr>
            <w:tcW w:w="47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(6,851)</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(42,782)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(42,782)</w:t>
            </w: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289,186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289,186</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2"/>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246,404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56" w:name="page157"/>
    <w:bookmarkEnd w:id="156"/>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June 30, 2023</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177,444</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177,444</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42,069</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219,513</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219,513</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9,496</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253,857</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254,309</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29,158</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1,308,719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1,267,955</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w:t>
            </w:r>
          </w:p>
        </w:tc>
        <w:tc>
          <w:tcPr>
            <w:tcW w:w="0" w:type="dxa"/>
            <w:vAlign w:val="bottom"/>
          </w:tcPr>
          <w:p>
            <w:pPr>
              <w:spacing w:after="0"/>
              <w:rPr>
                <w:sz w:val="1"/>
                <w:szCs w:val="1"/>
                <w:color w:val="auto"/>
              </w:rPr>
            </w:pPr>
          </w:p>
        </w:tc>
      </w:tr>
      <w:tr>
        <w:trPr>
          <w:trHeight w:val="243"/>
        </w:trPr>
        <w:tc>
          <w:tcPr>
            <w:tcW w:w="66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1,607,859</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(42,846)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1,565,013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19,878</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19,878</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35,337</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59,858</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176,511</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297,254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307,037</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1,285,178</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186,884</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1,744,451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1,780,275</w:t>
            </w:r>
          </w:p>
        </w:tc>
        <w:tc>
          <w:tcPr>
            <w:tcW w:w="0" w:type="dxa"/>
            <w:vAlign w:val="bottom"/>
          </w:tcPr>
          <w:p>
            <w:pPr>
              <w:spacing w:after="0"/>
              <w:rPr>
                <w:sz w:val="1"/>
                <w:szCs w:val="1"/>
                <w:color w:val="auto"/>
              </w:rPr>
            </w:pPr>
          </w:p>
        </w:tc>
      </w:tr>
      <w:tr>
        <w:trPr>
          <w:trHeight w:val="127"/>
        </w:trPr>
        <w:tc>
          <w:tcPr>
            <w:tcW w:w="6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968,067</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(1,112,312)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(77,250)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(1,189,562)</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(136,592)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(78,670)</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(215,262)</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1,607,859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1,565,013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8"/>
          </w:tcPr>
          <w:p>
            <w:pPr>
              <w:ind w:left="480"/>
              <w:spacing w:after="0"/>
              <w:rPr>
                <w:sz w:val="20"/>
                <w:szCs w:val="20"/>
                <w:color w:val="auto"/>
              </w:rPr>
            </w:pPr>
            <w:r>
              <w:rPr>
                <w:rFonts w:ascii="Times New Roman" w:cs="Times New Roman" w:eastAsia="Times New Roman" w:hAnsi="Times New Roman"/>
                <w:sz w:val="16"/>
                <w:szCs w:val="16"/>
                <w:color w:val="auto"/>
              </w:rPr>
              <w:t>Three months ended June 30, 2023</w:t>
            </w:r>
          </w:p>
        </w:tc>
        <w:tc>
          <w:tcPr>
            <w:tcW w:w="180" w:type="dxa"/>
            <w:vAlign w:val="bottom"/>
          </w:tcPr>
          <w:p>
            <w:pPr>
              <w:spacing w:after="0"/>
              <w:rPr>
                <w:sz w:val="18"/>
                <w:szCs w:val="18"/>
                <w:color w:val="auto"/>
              </w:rPr>
            </w:pPr>
          </w:p>
        </w:tc>
        <w:tc>
          <w:tcPr>
            <w:tcW w:w="3120" w:type="dxa"/>
            <w:vAlign w:val="bottom"/>
            <w:gridSpan w:val="7"/>
          </w:tcPr>
          <w:p>
            <w:pPr>
              <w:jc w:val="right"/>
              <w:ind w:right="638"/>
              <w:spacing w:after="0"/>
              <w:rPr>
                <w:sz w:val="20"/>
                <w:szCs w:val="20"/>
                <w:color w:val="auto"/>
              </w:rPr>
            </w:pPr>
            <w:r>
              <w:rPr>
                <w:rFonts w:ascii="Times New Roman" w:cs="Times New Roman" w:eastAsia="Times New Roman" w:hAnsi="Times New Roman"/>
                <w:sz w:val="16"/>
                <w:szCs w:val="16"/>
                <w:color w:val="auto"/>
              </w:rPr>
              <w:t>Six months ended June 2023</w:t>
            </w:r>
          </w:p>
        </w:tc>
      </w:tr>
      <w:tr>
        <w:trPr>
          <w:trHeight w:val="25"/>
        </w:trPr>
        <w:tc>
          <w:tcPr>
            <w:tcW w:w="424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42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Restatement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Restated</w:t>
            </w:r>
          </w:p>
        </w:tc>
        <w:tc>
          <w:tcPr>
            <w:tcW w:w="18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8"/>
              </w:rPr>
              <w:t>As Restated</w:t>
            </w:r>
          </w:p>
        </w:tc>
      </w:tr>
      <w:tr>
        <w:trPr>
          <w:trHeight w:val="25"/>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6"/>
        </w:trPr>
        <w:tc>
          <w:tcPr>
            <w:tcW w:w="4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157,403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278,141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276,906</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185,277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186,573</w:t>
            </w: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104,050</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62,389</w:t>
            </w: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33,898</w:t>
            </w:r>
          </w:p>
        </w:tc>
      </w:tr>
      <w:tr>
        <w:trPr>
          <w:trHeight w:val="251"/>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56"/>
        </w:trPr>
        <w:tc>
          <w:tcPr>
            <w:tcW w:w="42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198,989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404,896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400,962</w:t>
            </w:r>
          </w:p>
        </w:tc>
      </w:tr>
      <w:tr>
        <w:trPr>
          <w:trHeight w:val="212"/>
        </w:trPr>
        <w:tc>
          <w:tcPr>
            <w:tcW w:w="4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(42,012)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(126,755)</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(124,056)</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3"/>
        </w:trPr>
        <w:tc>
          <w:tcPr>
            <w:tcW w:w="4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11,862</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w:t>
            </w:r>
          </w:p>
        </w:tc>
      </w:tr>
      <w:tr>
        <w:trPr>
          <w:trHeight w:val="212"/>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38"/>
        </w:trPr>
        <w:tc>
          <w:tcPr>
            <w:tcW w:w="4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(125,997)</w:t>
            </w: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8"/>
        </w:trPr>
        <w:tc>
          <w:tcPr>
            <w:tcW w:w="42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6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(131,758)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(131,758)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(126,049)</w:t>
            </w:r>
          </w:p>
        </w:tc>
      </w:tr>
      <w:tr>
        <w:trPr>
          <w:trHeight w:val="38"/>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7"/>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(47,565)</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(137,091)</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(132,844)</w:t>
            </w:r>
          </w:p>
        </w:tc>
      </w:tr>
      <w:tr>
        <w:trPr>
          <w:trHeight w:val="2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8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340" w:type="dxa"/>
            <w:vAlign w:val="bottom"/>
            <w:gridSpan w:val="5"/>
          </w:tcPr>
          <w:p>
            <w:pPr>
              <w:ind w:left="16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8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Six months ended June 30, 2023</w:t>
            </w:r>
          </w:p>
        </w:tc>
        <w:tc>
          <w:tcPr>
            <w:tcW w:w="1100" w:type="dxa"/>
            <w:vAlign w:val="bottom"/>
          </w:tcPr>
          <w:p>
            <w:pPr>
              <w:spacing w:after="0"/>
              <w:rPr>
                <w:sz w:val="21"/>
                <w:szCs w:val="21"/>
                <w:color w:val="auto"/>
              </w:rPr>
            </w:pPr>
          </w:p>
        </w:tc>
      </w:tr>
      <w:tr>
        <w:trPr>
          <w:trHeight w:val="25"/>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Restatement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21"/>
                <w:szCs w:val="21"/>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(131,758)</w:t>
            </w:r>
          </w:p>
        </w:tc>
        <w:tc>
          <w:tcPr>
            <w:tcW w:w="80" w:type="dxa"/>
            <w:vAlign w:val="bottom"/>
          </w:tcPr>
          <w:p>
            <w:pPr>
              <w:spacing w:after="0"/>
              <w:rPr>
                <w:sz w:val="17"/>
                <w:szCs w:val="17"/>
                <w:color w:val="auto"/>
              </w:rPr>
            </w:pP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5,709</w:t>
            </w:r>
          </w:p>
        </w:tc>
        <w:tc>
          <w:tcPr>
            <w:tcW w:w="80" w:type="dxa"/>
            <w:vAlign w:val="bottom"/>
          </w:tcPr>
          <w:p>
            <w:pPr>
              <w:spacing w:after="0"/>
              <w:rPr>
                <w:sz w:val="17"/>
                <w:szCs w:val="17"/>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(126,049)</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13,026</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19,058</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82,999</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Gain on foreign exchange</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13,135</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797</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1,028</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(8,599)</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1,098</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3,248</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1,097</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948</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17,963</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(71,928)</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195"/>
        </w:trPr>
        <w:tc>
          <w:tcPr>
            <w:tcW w:w="47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(60,872)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(59,549)</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(8,661)</w:t>
            </w:r>
          </w:p>
        </w:tc>
      </w:tr>
      <w:tr>
        <w:trPr>
          <w:trHeight w:val="29"/>
        </w:trPr>
        <w:tc>
          <w:tcPr>
            <w:tcW w:w="478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w:t>
            </w:r>
          </w:p>
        </w:tc>
      </w:tr>
      <w:tr>
        <w:trPr>
          <w:trHeight w:val="195"/>
        </w:trPr>
        <w:tc>
          <w:tcPr>
            <w:tcW w:w="47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(9,488)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(9,350)</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(782)</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(69,673)</w:t>
            </w:r>
          </w:p>
        </w:tc>
      </w:tr>
      <w:tr>
        <w:trPr>
          <w:trHeight w:val="20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289,186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289,186</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2"/>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219,513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219,513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59" w:name="page160"/>
    <w:bookmarkEnd w:id="159"/>
    <w:tbl>
      <w:tblPr>
        <w:tblLayout w:type="fixed"/>
        <w:tblInd w:w="2"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020" w:type="dxa"/>
            <w:vAlign w:val="bottom"/>
            <w:gridSpan w:val="5"/>
          </w:tcPr>
          <w:p>
            <w:pPr>
              <w:ind w:left="2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2023</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Previously</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Reported</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2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166,045</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166,045</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41,188</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207,233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207,233</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233,258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234,216</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26,473</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1,439,572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1,386,753</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25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1,716,337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1,662,310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20,514</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20,514</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67,896</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189,238</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329,266</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323,153</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1,382,693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1,406,441</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196,398</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1,909,025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17,706</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1,926,731</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1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2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2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972,991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972,991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(1,176,588)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(1,247,192)</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5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1,716,337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1,662,310</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1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8"/>
          </w:tcPr>
          <w:p>
            <w:pPr>
              <w:ind w:left="280"/>
              <w:spacing w:after="0"/>
              <w:rPr>
                <w:sz w:val="20"/>
                <w:szCs w:val="20"/>
                <w:color w:val="auto"/>
              </w:rPr>
            </w:pPr>
            <w:r>
              <w:rPr>
                <w:rFonts w:ascii="Times New Roman" w:cs="Times New Roman" w:eastAsia="Times New Roman" w:hAnsi="Times New Roman"/>
                <w:sz w:val="16"/>
                <w:szCs w:val="16"/>
                <w:color w:val="auto"/>
              </w:rPr>
              <w:t>Three months ended September 30, 2023</w:t>
            </w:r>
          </w:p>
        </w:tc>
        <w:tc>
          <w:tcPr>
            <w:tcW w:w="180" w:type="dxa"/>
            <w:vAlign w:val="bottom"/>
          </w:tcPr>
          <w:p>
            <w:pPr>
              <w:spacing w:after="0"/>
              <w:rPr>
                <w:sz w:val="18"/>
                <w:szCs w:val="18"/>
                <w:color w:val="auto"/>
              </w:rPr>
            </w:pPr>
          </w:p>
        </w:tc>
        <w:tc>
          <w:tcPr>
            <w:tcW w:w="3100" w:type="dxa"/>
            <w:vAlign w:val="bottom"/>
            <w:gridSpan w:val="7"/>
          </w:tcPr>
          <w:p>
            <w:pPr>
              <w:jc w:val="right"/>
              <w:ind w:right="258"/>
              <w:spacing w:after="0"/>
              <w:rPr>
                <w:sz w:val="20"/>
                <w:szCs w:val="20"/>
                <w:color w:val="auto"/>
              </w:rPr>
            </w:pPr>
            <w:r>
              <w:rPr>
                <w:rFonts w:ascii="Times New Roman" w:cs="Times New Roman" w:eastAsia="Times New Roman" w:hAnsi="Times New Roman"/>
                <w:sz w:val="16"/>
                <w:szCs w:val="16"/>
                <w:color w:val="auto"/>
              </w:rPr>
              <w:t>Nine months ended September 30, 2023</w:t>
            </w:r>
          </w:p>
        </w:tc>
      </w:tr>
      <w:tr>
        <w:trPr>
          <w:trHeight w:val="25"/>
        </w:trPr>
        <w:tc>
          <w:tcPr>
            <w:tcW w:w="424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424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As Previously</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Restated</w:t>
            </w:r>
          </w:p>
        </w:tc>
        <w:tc>
          <w:tcPr>
            <w:tcW w:w="18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8"/>
              </w:rPr>
              <w:t>As Restated</w:t>
            </w:r>
          </w:p>
        </w:tc>
      </w:tr>
      <w:tr>
        <w:trPr>
          <w:trHeight w:val="25"/>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6"/>
        </w:trPr>
        <w:tc>
          <w:tcPr>
            <w:tcW w:w="4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439,037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437,802</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295,988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289,947</w:t>
            </w: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154,426</w:t>
            </w: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90,465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92,937</w:t>
            </w: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17,289</w:t>
            </w: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54,894</w:t>
            </w:r>
          </w:p>
        </w:tc>
      </w:tr>
      <w:tr>
        <w:trPr>
          <w:trHeight w:val="251"/>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losses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57"/>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r>
      <w:tr>
        <w:trPr>
          <w:trHeight w:val="218"/>
        </w:trPr>
        <w:tc>
          <w:tcPr>
            <w:tcW w:w="4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622,722</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612,699</w:t>
            </w: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9"/>
        </w:trPr>
        <w:tc>
          <w:tcPr>
            <w:tcW w:w="42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(183,685)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(174,897)</w:t>
            </w:r>
          </w:p>
        </w:tc>
      </w:tr>
      <w:tr>
        <w:trPr>
          <w:trHeight w:val="233"/>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(6,814)</w:t>
            </w: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9"/>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non-operating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(195,395)</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11,843</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(183,552)</w:t>
            </w: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(57,630)</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(196,034)</w:t>
            </w: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(183,679)</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4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5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4"/>
        </w:trPr>
        <w:tc>
          <w:tcPr>
            <w:tcW w:w="4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(57,630)</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(196,034)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(183,679)</w:t>
            </w:r>
          </w:p>
        </w:tc>
      </w:tr>
      <w:tr>
        <w:trPr>
          <w:trHeight w:val="219"/>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w:t>
            </w: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6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(198,112)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84"/>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400" w:type="dxa"/>
            <w:vAlign w:val="bottom"/>
            <w:gridSpan w:val="5"/>
          </w:tcPr>
          <w:p>
            <w:pPr>
              <w:ind w:left="16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20" w:type="dxa"/>
            <w:vAlign w:val="bottom"/>
            <w:gridSpan w:val="2"/>
          </w:tcPr>
          <w:p>
            <w:pPr>
              <w:jc w:val="right"/>
              <w:ind w:right="927"/>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7"/>
          </w:tcPr>
          <w:p>
            <w:pPr>
              <w:jc w:val="right"/>
              <w:ind w:right="806"/>
              <w:spacing w:after="0"/>
              <w:rPr>
                <w:sz w:val="20"/>
                <w:szCs w:val="20"/>
                <w:color w:val="auto"/>
              </w:rPr>
            </w:pPr>
            <w:r>
              <w:rPr>
                <w:rFonts w:ascii="Times New Roman" w:cs="Times New Roman" w:eastAsia="Times New Roman" w:hAnsi="Times New Roman"/>
                <w:sz w:val="16"/>
                <w:szCs w:val="16"/>
                <w:color w:val="auto"/>
              </w:rPr>
              <w:t>Nine months ended September 30, 2023</w:t>
            </w:r>
          </w:p>
        </w:tc>
      </w:tr>
      <w:tr>
        <w:trPr>
          <w:trHeight w:val="25"/>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Previously</w:t>
            </w: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Restatement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Reported</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21"/>
                <w:szCs w:val="21"/>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232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(196,034)</w:t>
            </w:r>
          </w:p>
        </w:tc>
        <w:tc>
          <w:tcPr>
            <w:tcW w:w="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12,355</w:t>
            </w:r>
          </w:p>
        </w:tc>
        <w:tc>
          <w:tcPr>
            <w:tcW w:w="80" w:type="dxa"/>
            <w:vAlign w:val="bottom"/>
          </w:tcPr>
          <w:p>
            <w:pPr>
              <w:spacing w:after="0"/>
              <w:rPr>
                <w:sz w:val="17"/>
                <w:szCs w:val="17"/>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(183,679)</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18,908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18,908</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25,362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23,982</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130,192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130,192</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Impairment losses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1,087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1,087</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Gain on foreign exchange</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(2,445)</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20,418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20,418</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1,274</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w:t>
            </w:r>
          </w:p>
        </w:tc>
      </w:tr>
      <w:tr>
        <w:trPr>
          <w:trHeight w:val="203"/>
        </w:trPr>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897</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(4,219)</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1,885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1,885</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4,433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4,044</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3,911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(5,434)</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1,706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1,013</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25,651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25,728</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(103,939)</w:t>
            </w:r>
          </w:p>
        </w:tc>
      </w:tr>
      <w:tr>
        <w:trPr>
          <w:trHeight w:val="203"/>
        </w:trPr>
        <w:tc>
          <w:tcPr>
            <w:tcW w:w="47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590</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47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(74,038)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(72,537)</w:t>
            </w:r>
          </w:p>
        </w:tc>
      </w:tr>
      <w:tr>
        <w:trPr>
          <w:trHeight w:val="18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(11,319)</w:t>
            </w: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47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(12,105)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(12,436)</w:t>
            </w:r>
          </w:p>
        </w:tc>
      </w:tr>
      <w:tr>
        <w:trPr>
          <w:trHeight w:val="18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Repayment of debt and payment of early termination fees</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r>
      <w:tr>
        <w:trPr>
          <w:trHeight w:val="20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3,000</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w:t>
            </w:r>
          </w:p>
        </w:tc>
      </w:tr>
      <w:tr>
        <w:trPr>
          <w:trHeight w:val="195"/>
        </w:trPr>
        <w:tc>
          <w:tcPr>
            <w:tcW w:w="47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2,758</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2,758</w:t>
            </w:r>
          </w:p>
        </w:tc>
      </w:tr>
      <w:tr>
        <w:trPr>
          <w:trHeight w:val="29"/>
        </w:trPr>
        <w:tc>
          <w:tcPr>
            <w:tcW w:w="4780" w:type="dxa"/>
            <w:vAlign w:val="bottom"/>
            <w:tcBorders>
              <w:bottom w:val="single" w:sz="8" w:color="CCEEFF"/>
            </w:tcBorders>
            <w:gridSpan w:val="2"/>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262</w:t>
            </w:r>
          </w:p>
        </w:tc>
      </w:tr>
      <w:tr>
        <w:trPr>
          <w:trHeight w:val="19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(81,953)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(81,953)</w:t>
            </w:r>
          </w:p>
        </w:tc>
      </w:tr>
      <w:tr>
        <w:trPr>
          <w:trHeight w:val="29"/>
        </w:trPr>
        <w:tc>
          <w:tcPr>
            <w:tcW w:w="47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289,186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289,186</w:t>
            </w:r>
          </w:p>
        </w:tc>
      </w:tr>
      <w:tr>
        <w:trPr>
          <w:trHeight w:val="222"/>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207,233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207,233</w:t>
            </w: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62" w:name="page163"/>
    <w:bookmarkEnd w:id="162"/>
    <w:tbl>
      <w:tblPr>
        <w:tblLayout w:type="fixed"/>
        <w:tblInd w:w="2"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020" w:type="dxa"/>
            <w:vAlign w:val="bottom"/>
            <w:gridSpan w:val="5"/>
          </w:tcPr>
          <w:p>
            <w:pPr>
              <w:ind w:left="2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31, 2022</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Previously</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Reported</w:t>
            </w: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2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406,348</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407,031</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407,031</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rent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428,776</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34,869</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1,129,166</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14,861</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2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1,629,358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1,607,672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78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17,511</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41,642</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143,014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137,642</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229,870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222,928</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1,070,896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1,059,064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156,722</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1,493,370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1,474,155</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1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2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2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930,538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929,553</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(805,335)</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5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1,629,358</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1,607,672</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1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80" w:type="dxa"/>
            <w:vAlign w:val="bottom"/>
            <w:gridSpan w:val="7"/>
          </w:tcPr>
          <w:p>
            <w:pPr>
              <w:jc w:val="center"/>
              <w:ind w:right="118"/>
              <w:spacing w:after="0"/>
              <w:rPr>
                <w:sz w:val="20"/>
                <w:szCs w:val="20"/>
                <w:color w:val="auto"/>
              </w:rPr>
            </w:pPr>
            <w:r>
              <w:rPr>
                <w:rFonts w:ascii="Times New Roman" w:cs="Times New Roman" w:eastAsia="Times New Roman" w:hAnsi="Times New Roman"/>
                <w:sz w:val="16"/>
                <w:szCs w:val="16"/>
                <w:color w:val="auto"/>
              </w:rPr>
              <w:t>Three months ended March 31, 2022</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66"/>
        </w:trPr>
        <w:tc>
          <w:tcPr>
            <w:tcW w:w="6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81,945</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74,655</w:t>
            </w: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47,702</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36,195</w:t>
            </w: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9,789</w:t>
            </w: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176,230</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175,966</w:t>
            </w: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9"/>
        </w:trPr>
        <w:tc>
          <w:tcPr>
            <w:tcW w:w="6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(94,021)</w:t>
            </w:r>
          </w:p>
        </w:tc>
      </w:t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(15,336)</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(73,177)</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 gain on conversion of convertible notes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(29,512)</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(106,758)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(107,199)</w:t>
            </w: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76"/>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 net income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13,147</w:t>
            </w: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w:t>
            </w:r>
          </w:p>
        </w:tc>
      </w:tr>
      <w:tr>
        <w:trPr>
          <w:trHeight w:val="23"/>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84"/>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360" w:type="dxa"/>
            <w:vAlign w:val="bottom"/>
            <w:gridSpan w:val="4"/>
          </w:tcPr>
          <w:p>
            <w:pPr>
              <w:jc w:val="center"/>
              <w:ind w:left="1498"/>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5720" w:type="dxa"/>
            <w:vAlign w:val="bottom"/>
          </w:tcPr>
          <w:p>
            <w:pPr>
              <w:jc w:val="center"/>
              <w:ind w:left="313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80" w:type="dxa"/>
            <w:vAlign w:val="bottom"/>
            <w:gridSpan w:val="7"/>
          </w:tcPr>
          <w:p>
            <w:pPr>
              <w:jc w:val="right"/>
              <w:ind w:right="906"/>
              <w:spacing w:after="0"/>
              <w:rPr>
                <w:sz w:val="20"/>
                <w:szCs w:val="20"/>
                <w:color w:val="auto"/>
              </w:rPr>
            </w:pPr>
            <w:r>
              <w:rPr>
                <w:rFonts w:ascii="Times New Roman" w:cs="Times New Roman" w:eastAsia="Times New Roman" w:hAnsi="Times New Roman"/>
                <w:sz w:val="16"/>
                <w:szCs w:val="16"/>
                <w:color w:val="auto"/>
              </w:rPr>
              <w:t>Three months ended March 31, 2022</w:t>
            </w:r>
          </w:p>
        </w:tc>
      </w:tr>
      <w:tr>
        <w:trPr>
          <w:trHeight w:val="25"/>
        </w:trPr>
        <w:tc>
          <w:tcPr>
            <w:tcW w:w="11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Restatement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21"/>
                <w:szCs w:val="21"/>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68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5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1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03"/>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10,963</w:t>
            </w:r>
          </w:p>
        </w:tc>
        <w:tc>
          <w:tcPr>
            <w:tcW w:w="8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2,184</w:t>
            </w:r>
          </w:p>
        </w:tc>
        <w:tc>
          <w:tcPr>
            <w:tcW w:w="1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13,147</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5,630</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5,695</w:t>
            </w: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37,646</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Impairment of ROU assets</w:t>
            </w: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Loss on foreign exchange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2,379</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8,750</w:t>
            </w: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(3,007)</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share-settled redemption feature and gain on conversion of convertible notes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(15,336)</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(73,177)</w:t>
            </w:r>
          </w:p>
        </w:tc>
      </w:tr>
      <w:tr>
        <w:trPr>
          <w:trHeight w:val="203"/>
        </w:trPr>
        <w:tc>
          <w:tcPr>
            <w:tcW w:w="68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682</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03"/>
        </w:trPr>
        <w:tc>
          <w:tcPr>
            <w:tcW w:w="68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3,075</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(2,369)</w:t>
            </w:r>
          </w:p>
        </w:tc>
      </w:tr>
      <w:tr>
        <w:trPr>
          <w:trHeight w:val="203"/>
        </w:trPr>
        <w:tc>
          <w:tcPr>
            <w:tcW w:w="68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9,979</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(21,001)</w:t>
            </w:r>
          </w:p>
        </w:tc>
      </w:tr>
      <w:tr>
        <w:trPr>
          <w:trHeight w:val="203"/>
        </w:trPr>
        <w:tc>
          <w:tcPr>
            <w:tcW w:w="68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(6,732)</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3,891</w:t>
            </w:r>
          </w:p>
        </w:tc>
      </w:tr>
      <w:tr>
        <w:trPr>
          <w:trHeight w:val="203"/>
        </w:trPr>
        <w:tc>
          <w:tcPr>
            <w:tcW w:w="68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24,347</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(17,761)</w:t>
            </w:r>
          </w:p>
        </w:tc>
      </w:tr>
      <w:tr>
        <w:trPr>
          <w:trHeight w:val="203"/>
        </w:trPr>
        <w:tc>
          <w:tcPr>
            <w:tcW w:w="68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3,165</w:t>
            </w:r>
          </w:p>
        </w:tc>
      </w:tr>
      <w:tr>
        <w:trPr>
          <w:trHeight w:val="29"/>
        </w:trPr>
        <w:tc>
          <w:tcPr>
            <w:tcW w:w="6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68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(50,693)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(50,509)</w:t>
            </w:r>
          </w:p>
        </w:tc>
      </w:tr>
      <w:tr>
        <w:trPr>
          <w:trHeight w:val="18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(10,723)</w:t>
            </w:r>
          </w:p>
        </w:tc>
      </w:tr>
      <w:tr>
        <w:trPr>
          <w:trHeight w:val="203"/>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w:t>
            </w:r>
          </w:p>
        </w:tc>
      </w:tr>
      <w:tr>
        <w:trPr>
          <w:trHeight w:val="29"/>
        </w:trPr>
        <w:tc>
          <w:tcPr>
            <w:tcW w:w="6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68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(11,800)</w:t>
            </w:r>
          </w:p>
        </w:tc>
      </w:tr>
      <w:tr>
        <w:trPr>
          <w:trHeight w:val="18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Delayed Draw Notes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159,225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159,225</w:t>
            </w:r>
          </w:p>
        </w:tc>
      </w:tr>
      <w:tr>
        <w:trPr>
          <w:trHeight w:val="203"/>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Repayment of debt and payment of early termination fees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business combination and PIPE offering</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325,928</w:t>
            </w:r>
          </w:p>
        </w:tc>
      </w:tr>
      <w:tr>
        <w:trPr>
          <w:trHeight w:val="203"/>
        </w:trPr>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Common stock issuance costs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6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873</w:t>
            </w:r>
          </w:p>
        </w:tc>
      </w:tr>
      <w:tr>
        <w:trPr>
          <w:trHeight w:val="195"/>
        </w:trPr>
        <w:tc>
          <w:tcPr>
            <w:tcW w:w="68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399,726</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399,726</w:t>
            </w:r>
          </w:p>
        </w:tc>
      </w:tr>
      <w:tr>
        <w:trPr>
          <w:trHeight w:val="29"/>
        </w:trPr>
        <w:tc>
          <w:tcPr>
            <w:tcW w:w="68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195"/>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337,090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337,090</w:t>
            </w:r>
          </w:p>
        </w:tc>
      </w:tr>
      <w:tr>
        <w:trPr>
          <w:trHeight w:val="29"/>
        </w:trPr>
        <w:tc>
          <w:tcPr>
            <w:tcW w:w="6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69,941</w:t>
            </w:r>
          </w:p>
        </w:tc>
      </w:tr>
      <w:tr>
        <w:trPr>
          <w:trHeight w:val="222"/>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407,031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407,031</w:t>
            </w:r>
          </w:p>
        </w:tc>
      </w:tr>
      <w:tr>
        <w:trPr>
          <w:trHeight w:val="20"/>
        </w:trPr>
        <w:tc>
          <w:tcPr>
            <w:tcW w:w="11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65" w:name="page166"/>
    <w:bookmarkEnd w:id="165"/>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June 30, 2022</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20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6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359,500</w:t>
            </w:r>
          </w:p>
        </w:tc>
        <w:tc>
          <w:tcPr>
            <w:tcW w:w="8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359,500</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360,744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360,744</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rent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11,628</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390,601</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35,625</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1,109,208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114,484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1,223,692</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1,559,414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1,664,557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31,426</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44,364</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115,655</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243,549</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(20,499)</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223,050</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136,857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1,187,142</w:t>
            </w: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161,285</w:t>
            </w: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0" w:type="dxa"/>
            <w:vAlign w:val="bottom"/>
          </w:tcPr>
          <w:p>
            <w:pPr>
              <w:spacing w:after="0"/>
              <w:rPr>
                <w:sz w:val="1"/>
                <w:szCs w:val="1"/>
                <w:color w:val="auto"/>
              </w:rPr>
            </w:pPr>
          </w:p>
        </w:tc>
      </w:tr>
      <w:tr>
        <w:trPr>
          <w:trHeight w:val="212"/>
        </w:trPr>
        <w:tc>
          <w:tcPr>
            <w:tcW w:w="6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1,458,322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117,073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1,575,395</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6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936,223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934,757</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0" w:type="dxa"/>
            <w:vAlign w:val="bottom"/>
          </w:tcPr>
          <w:p>
            <w:pPr>
              <w:spacing w:after="0"/>
              <w:rPr>
                <w:sz w:val="1"/>
                <w:szCs w:val="1"/>
                <w:color w:val="auto"/>
              </w:rPr>
            </w:pPr>
          </w:p>
        </w:tc>
      </w:tr>
      <w:tr>
        <w:trPr>
          <w:trHeight w:val="21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(859,979)</w:t>
            </w:r>
          </w:p>
        </w:tc>
        <w:tc>
          <w:tcPr>
            <w:tcW w:w="0" w:type="dxa"/>
            <w:vAlign w:val="bottom"/>
          </w:tcPr>
          <w:p>
            <w:pPr>
              <w:spacing w:after="0"/>
              <w:rPr>
                <w:sz w:val="1"/>
                <w:szCs w:val="1"/>
                <w:color w:val="auto"/>
              </w:rPr>
            </w:pPr>
          </w:p>
        </w:tc>
      </w:tr>
      <w:tr>
        <w:trPr>
          <w:trHeight w:val="38"/>
        </w:trPr>
        <w:tc>
          <w:tcPr>
            <w:tcW w:w="6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89,162</w:t>
            </w:r>
          </w:p>
        </w:tc>
        <w:tc>
          <w:tcPr>
            <w:tcW w:w="0" w:type="dxa"/>
            <w:vAlign w:val="bottom"/>
          </w:tcPr>
          <w:p>
            <w:pPr>
              <w:spacing w:after="0"/>
              <w:rPr>
                <w:sz w:val="1"/>
                <w:szCs w:val="1"/>
                <w:color w:val="auto"/>
              </w:rPr>
            </w:pPr>
          </w:p>
        </w:tc>
      </w:tr>
      <w:tr>
        <w:trPr>
          <w:trHeight w:val="243"/>
        </w:trPr>
        <w:tc>
          <w:tcPr>
            <w:tcW w:w="66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1,559,414</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105,143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1,664,557</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8"/>
          </w:tcPr>
          <w:p>
            <w:pPr>
              <w:ind w:left="480"/>
              <w:spacing w:after="0"/>
              <w:rPr>
                <w:sz w:val="20"/>
                <w:szCs w:val="20"/>
                <w:color w:val="auto"/>
              </w:rPr>
            </w:pPr>
            <w:r>
              <w:rPr>
                <w:rFonts w:ascii="Times New Roman" w:cs="Times New Roman" w:eastAsia="Times New Roman" w:hAnsi="Times New Roman"/>
                <w:sz w:val="16"/>
                <w:szCs w:val="16"/>
                <w:color w:val="auto"/>
              </w:rPr>
              <w:t>Three months ended June 30, 2022</w:t>
            </w:r>
          </w:p>
        </w:tc>
        <w:tc>
          <w:tcPr>
            <w:tcW w:w="180" w:type="dxa"/>
            <w:vAlign w:val="bottom"/>
          </w:tcPr>
          <w:p>
            <w:pPr>
              <w:spacing w:after="0"/>
              <w:rPr>
                <w:sz w:val="18"/>
                <w:szCs w:val="18"/>
                <w:color w:val="auto"/>
              </w:rPr>
            </w:pPr>
          </w:p>
        </w:tc>
        <w:tc>
          <w:tcPr>
            <w:tcW w:w="3100" w:type="dxa"/>
            <w:vAlign w:val="bottom"/>
            <w:gridSpan w:val="7"/>
          </w:tcPr>
          <w:p>
            <w:pPr>
              <w:jc w:val="right"/>
              <w:ind w:right="618"/>
              <w:spacing w:after="0"/>
              <w:rPr>
                <w:sz w:val="20"/>
                <w:szCs w:val="20"/>
                <w:color w:val="auto"/>
              </w:rPr>
            </w:pPr>
            <w:r>
              <w:rPr>
                <w:rFonts w:ascii="Times New Roman" w:cs="Times New Roman" w:eastAsia="Times New Roman" w:hAnsi="Times New Roman"/>
                <w:sz w:val="16"/>
                <w:szCs w:val="16"/>
                <w:color w:val="auto"/>
              </w:rPr>
              <w:t>Six months ended June 2022</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4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As Previously</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Restated</w:t>
            </w:r>
          </w:p>
        </w:tc>
        <w:tc>
          <w:tcPr>
            <w:tcW w:w="180" w:type="dxa"/>
            <w:vAlign w:val="bottom"/>
          </w:tcPr>
          <w:p>
            <w:pPr>
              <w:spacing w:after="0"/>
              <w:rPr>
                <w:sz w:val="21"/>
                <w:szCs w:val="2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8"/>
              </w:rPr>
              <w:t>As Restated</w:t>
            </w: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4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201,788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203,083</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153,083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162,690</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100,897</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66,676</w:t>
            </w: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w:t>
            </w:r>
          </w:p>
        </w:tc>
        <w:tc>
          <w:tcPr>
            <w:tcW w:w="0" w:type="dxa"/>
            <w:vAlign w:val="bottom"/>
          </w:tcPr>
          <w:p>
            <w:pPr>
              <w:spacing w:after="0"/>
              <w:rPr>
                <w:sz w:val="1"/>
                <w:szCs w:val="1"/>
                <w:color w:val="auto"/>
              </w:rPr>
            </w:pPr>
          </w:p>
        </w:tc>
      </w:tr>
      <w:tr>
        <w:trPr>
          <w:trHeight w:val="251"/>
        </w:trPr>
        <w:tc>
          <w:tcPr>
            <w:tcW w:w="4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r>
        <w:trPr>
          <w:trHeight w:val="256"/>
        </w:trPr>
        <w:tc>
          <w:tcPr>
            <w:tcW w:w="42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196,640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365,232</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372,606</w:t>
            </w:r>
          </w:p>
        </w:tc>
        <w:tc>
          <w:tcPr>
            <w:tcW w:w="0" w:type="dxa"/>
            <w:vAlign w:val="bottom"/>
          </w:tcPr>
          <w:p>
            <w:pPr>
              <w:spacing w:after="0"/>
              <w:rPr>
                <w:sz w:val="1"/>
                <w:szCs w:val="1"/>
                <w:color w:val="auto"/>
              </w:rPr>
            </w:pPr>
          </w:p>
        </w:tc>
      </w:tr>
      <w:tr>
        <w:trPr>
          <w:trHeight w:val="212"/>
        </w:trPr>
        <w:tc>
          <w:tcPr>
            <w:tcW w:w="4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(67,680)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(75,502)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(163,444)</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(169,523)</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4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(96,522)</w:t>
            </w: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w:t>
            </w:r>
          </w:p>
        </w:tc>
        <w:tc>
          <w:tcPr>
            <w:tcW w:w="1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conversion of convertible notes</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0" w:type="dxa"/>
            <w:vAlign w:val="bottom"/>
          </w:tcPr>
          <w:p>
            <w:pPr>
              <w:spacing w:after="0"/>
              <w:rPr>
                <w:sz w:val="1"/>
                <w:szCs w:val="1"/>
                <w:color w:val="auto"/>
              </w:rPr>
            </w:pP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non-operating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(128,174)</w:t>
            </w: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(54,527)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(34,555)</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(41,349)</w:t>
            </w:r>
          </w:p>
        </w:tc>
        <w:tc>
          <w:tcPr>
            <w:tcW w:w="0" w:type="dxa"/>
            <w:vAlign w:val="bottom"/>
          </w:tcPr>
          <w:p>
            <w:pPr>
              <w:spacing w:after="0"/>
              <w:rPr>
                <w:sz w:val="1"/>
                <w:szCs w:val="1"/>
                <w:color w:val="auto"/>
              </w:rPr>
            </w:pP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(54,644)</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(34,703)</w:t>
            </w: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(41,497)</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(41,497)</w:t>
            </w:r>
          </w:p>
        </w:tc>
        <w:tc>
          <w:tcPr>
            <w:tcW w:w="0" w:type="dxa"/>
            <w:vAlign w:val="bottom"/>
          </w:tcPr>
          <w:p>
            <w:pPr>
              <w:spacing w:after="0"/>
              <w:rPr>
                <w:sz w:val="1"/>
                <w:szCs w:val="1"/>
                <w:color w:val="auto"/>
              </w:rPr>
            </w:pPr>
          </w:p>
        </w:tc>
      </w:tr>
      <w:tr>
        <w:trPr>
          <w:trHeight w:val="219"/>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0" w:type="dxa"/>
            <w:vAlign w:val="bottom"/>
          </w:tcPr>
          <w:p>
            <w:pPr>
              <w:spacing w:after="0"/>
              <w:rPr>
                <w:sz w:val="1"/>
                <w:szCs w:val="1"/>
                <w:color w:val="auto"/>
              </w:rPr>
            </w:pPr>
          </w:p>
        </w:tc>
      </w:tr>
      <w:tr>
        <w:trPr>
          <w:trHeight w:val="38"/>
        </w:trPr>
        <w:tc>
          <w:tcPr>
            <w:tcW w:w="4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4"/>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400" w:type="dxa"/>
            <w:vAlign w:val="bottom"/>
            <w:gridSpan w:val="4"/>
          </w:tcPr>
          <w:p>
            <w:pPr>
              <w:jc w:val="center"/>
              <w:ind w:left="1458"/>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5760" w:type="dxa"/>
            <w:vAlign w:val="bottom"/>
          </w:tcPr>
          <w:p>
            <w:pPr>
              <w:jc w:val="center"/>
              <w:ind w:left="309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Six months ended June 30, 2022</w:t>
            </w:r>
          </w:p>
        </w:tc>
        <w:tc>
          <w:tcPr>
            <w:tcW w:w="1060" w:type="dxa"/>
            <w:vAlign w:val="bottom"/>
          </w:tcPr>
          <w:p>
            <w:pPr>
              <w:spacing w:after="0"/>
              <w:rPr>
                <w:sz w:val="21"/>
                <w:szCs w:val="21"/>
                <w:color w:val="auto"/>
              </w:rPr>
            </w:pPr>
          </w:p>
        </w:tc>
      </w:tr>
      <w:tr>
        <w:trPr>
          <w:trHeight w:val="25"/>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18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Restatement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21"/>
                <w:szCs w:val="21"/>
                <w:color w:val="auto"/>
              </w:rPr>
            </w:pPr>
          </w:p>
        </w:tc>
        <w:tc>
          <w:tcPr>
            <w:tcW w:w="106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69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1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(34,703)</w:t>
            </w:r>
          </w:p>
        </w:tc>
        <w:tc>
          <w:tcPr>
            <w:tcW w:w="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(6,794)</w:t>
            </w:r>
          </w:p>
        </w:tc>
        <w:tc>
          <w:tcPr>
            <w:tcW w:w="1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(41,497)</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11,626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11,626</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11,734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10,268</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70,228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70,228</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Loss on foreign exchange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6,458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6,458</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4,253</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9,040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9,040</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share-settled redemption feature and gain on conversion of convertible notes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(23,599)</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(96,522)</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1,175</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(3,418)</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(2,561)</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6,601</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(22,382)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(20,088)</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6,895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12,541</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4,251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5,212</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19,089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27,224</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(24,264)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(38,300)</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00" w:type="dxa"/>
            <w:vAlign w:val="bottom"/>
          </w:tcPr>
          <w:p>
            <w:pPr>
              <w:spacing w:after="0"/>
              <w:rPr>
                <w:sz w:val="17"/>
                <w:szCs w:val="17"/>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2,474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2,474</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(91,615)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(91,037)</w:t>
            </w:r>
          </w:p>
        </w:tc>
      </w:tr>
      <w:tr>
        <w:trPr>
          <w:trHeight w:val="18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(16,723)</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(2,236)</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(18,959)</w:t>
            </w:r>
          </w:p>
        </w:tc>
      </w:tr>
      <w:tr>
        <w:trPr>
          <w:trHeight w:val="18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Delayed Draw Notes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159,225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159,225</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Repayment of debt and related fees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business combination and PIPE offering</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325,928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325,928</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Common stock issuance costs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1,447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1,447</w:t>
            </w:r>
          </w:p>
        </w:tc>
      </w:tr>
      <w:tr>
        <w:trPr>
          <w:trHeight w:val="195"/>
        </w:trPr>
        <w:tc>
          <w:tcPr>
            <w:tcW w:w="692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400,300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400,300</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499</w:t>
            </w:r>
          </w:p>
        </w:tc>
      </w:tr>
      <w:tr>
        <w:trPr>
          <w:trHeight w:val="19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290,803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290,803</w:t>
            </w:r>
          </w:p>
        </w:tc>
      </w:tr>
      <w:tr>
        <w:trPr>
          <w:trHeight w:val="29"/>
        </w:trPr>
        <w:tc>
          <w:tcPr>
            <w:tcW w:w="6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69,941</w:t>
            </w:r>
          </w:p>
        </w:tc>
      </w:tr>
      <w:tr>
        <w:trPr>
          <w:trHeight w:val="222"/>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360,744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360,744</w:t>
            </w: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68" w:name="page169"/>
    <w:bookmarkEnd w:id="168"/>
    <w:tbl>
      <w:tblPr>
        <w:tblLayout w:type="fixed"/>
        <w:tblInd w:w="2"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020" w:type="dxa"/>
            <w:vAlign w:val="bottom"/>
            <w:gridSpan w:val="5"/>
          </w:tcPr>
          <w:p>
            <w:pPr>
              <w:ind w:left="2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2022</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As Previously</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Restatement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Reported</w:t>
            </w: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21"/>
                <w:szCs w:val="21"/>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5"/>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20" w:type="dxa"/>
            <w:vAlign w:val="bottom"/>
            <w:gridSpan w:val="2"/>
            <w:vMerge w:val="continue"/>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317,324</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317,324</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318,455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318,455</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342,078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342,762</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35,922</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ROU assets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1,240,500</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assets</w:t>
            </w:r>
          </w:p>
        </w:tc>
        <w:tc>
          <w:tcPr>
            <w:tcW w:w="25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1,532,532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1,633,711</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16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9,236</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Pr>
          <w:p>
            <w:pPr>
              <w:spacing w:after="0"/>
              <w:rPr>
                <w:sz w:val="19"/>
                <w:szCs w:val="19"/>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35,473</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15,352</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51,511</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137,330</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238,438</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250,201</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1,082,412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1,183,744</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166,707</w:t>
            </w: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w:t>
            </w:r>
          </w:p>
        </w:tc>
        <w:tc>
          <w:tcPr>
            <w:tcW w:w="0" w:type="dxa"/>
            <w:vAlign w:val="bottom"/>
          </w:tcPr>
          <w:p>
            <w:pPr>
              <w:spacing w:after="0"/>
              <w:rPr>
                <w:sz w:val="1"/>
                <w:szCs w:val="1"/>
                <w:color w:val="auto"/>
              </w:rPr>
            </w:pPr>
          </w:p>
        </w:tc>
      </w:tr>
      <w:tr>
        <w:trPr>
          <w:trHeight w:val="212"/>
        </w:trPr>
        <w:tc>
          <w:tcPr>
            <w:tcW w:w="40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2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1,493,761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113,315</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1,607,076</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160" w:type="dxa"/>
            <w:vAlign w:val="bottom"/>
            <w:shd w:val="clear" w:color="auto" w:fill="CCEEFF"/>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020" w:type="dxa"/>
            <w:vAlign w:val="bottom"/>
            <w:gridSpan w:val="2"/>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1"/>
                <w:szCs w:val="21"/>
                <w:color w:val="auto"/>
                <w:vertAlign w:val="superscript"/>
              </w:rPr>
              <w:t>(1)</w:t>
            </w:r>
          </w:p>
        </w:tc>
        <w:tc>
          <w:tcPr>
            <w:tcW w:w="2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7"/>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r>
              <w:rPr>
                <w:rFonts w:ascii="Times New Roman" w:cs="Times New Roman" w:eastAsia="Times New Roman" w:hAnsi="Times New Roman"/>
                <w:sz w:val="21"/>
                <w:szCs w:val="21"/>
                <w:color w:val="auto"/>
                <w:vertAlign w:val="superscript"/>
              </w:rPr>
              <w:t>(1)</w:t>
            </w:r>
          </w:p>
        </w:tc>
        <w:tc>
          <w:tcPr>
            <w:tcW w:w="2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942,758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940,518</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2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19,216</w:t>
            </w:r>
          </w:p>
        </w:tc>
        <w:tc>
          <w:tcPr>
            <w:tcW w:w="0" w:type="dxa"/>
            <w:vAlign w:val="bottom"/>
          </w:tcPr>
          <w:p>
            <w:pPr>
              <w:spacing w:after="0"/>
              <w:rPr>
                <w:sz w:val="1"/>
                <w:szCs w:val="1"/>
                <w:color w:val="auto"/>
              </w:rPr>
            </w:pPr>
          </w:p>
        </w:tc>
      </w:tr>
      <w:tr>
        <w:trPr>
          <w:trHeight w:val="219"/>
        </w:trPr>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(933,100)</w:t>
            </w:r>
          </w:p>
        </w:tc>
        <w:tc>
          <w:tcPr>
            <w:tcW w:w="0" w:type="dxa"/>
            <w:vAlign w:val="bottom"/>
          </w:tcPr>
          <w:p>
            <w:pPr>
              <w:spacing w:after="0"/>
              <w:rPr>
                <w:sz w:val="1"/>
                <w:szCs w:val="1"/>
                <w:color w:val="auto"/>
              </w:rPr>
            </w:pPr>
          </w:p>
        </w:tc>
      </w:tr>
      <w:tr>
        <w:trPr>
          <w:trHeight w:val="38"/>
        </w:trPr>
        <w:tc>
          <w:tcPr>
            <w:tcW w:w="4020" w:type="dxa"/>
            <w:vAlign w:val="bottom"/>
            <w:tcBorders>
              <w:bottom w:val="single" w:sz="8" w:color="CCEEFF"/>
            </w:tcBorders>
            <w:gridSpan w:val="2"/>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5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1,532,532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1,633,711</w:t>
            </w: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222" w:right="20" w:hanging="222"/>
        <w:spacing w:after="0" w:line="223" w:lineRule="auto"/>
        <w:tabs>
          <w:tab w:leader="none" w:pos="293"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Prior period balances have been adjusted to reflect the Reverse Stock Split at a ratio of 1-for-20 that became effective on September 20, 2023. See Note 1, </w:t>
      </w:r>
      <w:r>
        <w:rPr>
          <w:rFonts w:ascii="Times New Roman" w:cs="Times New Roman" w:eastAsia="Times New Roman" w:hAnsi="Times New Roman"/>
          <w:sz w:val="15"/>
          <w:szCs w:val="15"/>
          <w:i w:val="1"/>
          <w:iCs w:val="1"/>
          <w:color w:val="auto"/>
        </w:rPr>
        <w:t>Basis of Presentation</w:t>
      </w:r>
      <w:r>
        <w:rPr>
          <w:rFonts w:ascii="Times New Roman" w:cs="Times New Roman" w:eastAsia="Times New Roman" w:hAnsi="Times New Roman"/>
          <w:sz w:val="15"/>
          <w:szCs w:val="15"/>
          <w:color w:val="auto"/>
        </w:rPr>
        <w:t>, for additional information regarding the Reverse Stock Split.</w:t>
      </w: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1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gridSpan w:val="8"/>
          </w:tcPr>
          <w:p>
            <w:pPr>
              <w:ind w:left="280"/>
              <w:spacing w:after="0"/>
              <w:rPr>
                <w:sz w:val="20"/>
                <w:szCs w:val="20"/>
                <w:color w:val="auto"/>
              </w:rPr>
            </w:pPr>
            <w:r>
              <w:rPr>
                <w:rFonts w:ascii="Times New Roman" w:cs="Times New Roman" w:eastAsia="Times New Roman" w:hAnsi="Times New Roman"/>
                <w:sz w:val="16"/>
                <w:szCs w:val="16"/>
                <w:color w:val="auto"/>
              </w:rPr>
              <w:t>Three months ended September 30, 2022</w:t>
            </w:r>
          </w:p>
        </w:tc>
        <w:tc>
          <w:tcPr>
            <w:tcW w:w="180" w:type="dxa"/>
            <w:vAlign w:val="bottom"/>
          </w:tcPr>
          <w:p>
            <w:pPr>
              <w:spacing w:after="0"/>
              <w:rPr>
                <w:sz w:val="18"/>
                <w:szCs w:val="18"/>
                <w:color w:val="auto"/>
              </w:rPr>
            </w:pPr>
          </w:p>
        </w:tc>
        <w:tc>
          <w:tcPr>
            <w:tcW w:w="3080" w:type="dxa"/>
            <w:vAlign w:val="bottom"/>
            <w:gridSpan w:val="7"/>
          </w:tcPr>
          <w:p>
            <w:pPr>
              <w:jc w:val="right"/>
              <w:ind w:right="238"/>
              <w:spacing w:after="0"/>
              <w:rPr>
                <w:sz w:val="20"/>
                <w:szCs w:val="20"/>
                <w:color w:val="auto"/>
              </w:rPr>
            </w:pPr>
            <w:r>
              <w:rPr>
                <w:rFonts w:ascii="Times New Roman" w:cs="Times New Roman" w:eastAsia="Times New Roman" w:hAnsi="Times New Roman"/>
                <w:sz w:val="16"/>
                <w:szCs w:val="16"/>
                <w:color w:val="auto"/>
              </w:rPr>
              <w:t>Nine months ended September 30, 2022</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Restatement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As Previously</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Restatement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Restated</w:t>
            </w:r>
          </w:p>
        </w:tc>
        <w:tc>
          <w:tcPr>
            <w:tcW w:w="18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Reported</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8"/>
              </w:rPr>
              <w:t>As Restated</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4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329,681</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 (excluding depreciation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and support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153,912</w:t>
            </w: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97,921</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13,412</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36,009</w:t>
            </w:r>
          </w:p>
        </w:tc>
        <w:tc>
          <w:tcPr>
            <w:tcW w:w="0" w:type="dxa"/>
            <w:vAlign w:val="bottom"/>
          </w:tcPr>
          <w:p>
            <w:pPr>
              <w:spacing w:after="0"/>
              <w:rPr>
                <w:sz w:val="1"/>
                <w:szCs w:val="1"/>
                <w:color w:val="auto"/>
              </w:rPr>
            </w:pPr>
          </w:p>
        </w:tc>
      </w:tr>
      <w:tr>
        <w:trPr>
          <w:trHeight w:val="251"/>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0" w:type="dxa"/>
            <w:vAlign w:val="bottom"/>
          </w:tcPr>
          <w:p>
            <w:pPr>
              <w:spacing w:after="0"/>
              <w:rPr>
                <w:sz w:val="1"/>
                <w:szCs w:val="1"/>
                <w:color w:val="auto"/>
              </w:rPr>
            </w:pPr>
          </w:p>
        </w:tc>
      </w:tr>
      <w:tr>
        <w:trPr>
          <w:trHeight w:val="256"/>
        </w:trPr>
        <w:tc>
          <w:tcPr>
            <w:tcW w:w="42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187,793</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551,026</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560,399</w:t>
            </w:r>
          </w:p>
        </w:tc>
        <w:tc>
          <w:tcPr>
            <w:tcW w:w="0" w:type="dxa"/>
            <w:vAlign w:val="bottom"/>
          </w:tcPr>
          <w:p>
            <w:pPr>
              <w:spacing w:after="0"/>
              <w:rPr>
                <w:sz w:val="1"/>
                <w:szCs w:val="1"/>
                <w:color w:val="auto"/>
              </w:rPr>
            </w:pPr>
          </w:p>
        </w:tc>
      </w:tr>
      <w:tr>
        <w:trPr>
          <w:trHeight w:val="212"/>
        </w:trPr>
        <w:tc>
          <w:tcPr>
            <w:tcW w:w="42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(61,268)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(224,712)</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(230,718)</w:t>
            </w: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4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16,696</w:t>
            </w: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SPAC Warrants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 Out Liability</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(94,299)</w:t>
            </w: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share-settled redemption feature and</w:t>
            </w:r>
          </w:p>
        </w:tc>
        <w:tc>
          <w:tcPr>
            <w:tcW w:w="16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(29,512)</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gain on conversion of convertible notes</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0" w:type="dxa"/>
            <w:vAlign w:val="bottom"/>
          </w:tcPr>
          <w:p>
            <w:pPr>
              <w:spacing w:after="0"/>
              <w:rPr>
                <w:sz w:val="1"/>
                <w:szCs w:val="1"/>
                <w:color w:val="auto"/>
              </w:rPr>
            </w:pPr>
          </w:p>
        </w:tc>
      </w:tr>
      <w:tr>
        <w:trPr>
          <w:trHeight w:val="38"/>
        </w:trPr>
        <w:tc>
          <w:tcPr>
            <w:tcW w:w="4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non-operating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(116,664)</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(73,273)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(107,828)</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(114,054)</w:t>
            </w:r>
          </w:p>
        </w:tc>
        <w:tc>
          <w:tcPr>
            <w:tcW w:w="0" w:type="dxa"/>
            <w:vAlign w:val="bottom"/>
          </w:tcPr>
          <w:p>
            <w:pPr>
              <w:spacing w:after="0"/>
              <w:rPr>
                <w:sz w:val="1"/>
                <w:szCs w:val="1"/>
                <w:color w:val="auto"/>
              </w:rPr>
            </w:pPr>
          </w:p>
        </w:tc>
      </w:tr>
      <w:tr>
        <w:trPr>
          <w:trHeight w:val="38"/>
        </w:trPr>
        <w:tc>
          <w:tcPr>
            <w:tcW w:w="4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(73,689)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(73,121)</w:t>
            </w: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(108,392)</w:t>
            </w: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(114,618)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(73,121)</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(114,618)</w:t>
            </w:r>
          </w:p>
        </w:tc>
        <w:tc>
          <w:tcPr>
            <w:tcW w:w="0" w:type="dxa"/>
            <w:vAlign w:val="bottom"/>
          </w:tcPr>
          <w:p>
            <w:pPr>
              <w:spacing w:after="0"/>
              <w:rPr>
                <w:sz w:val="1"/>
                <w:szCs w:val="1"/>
                <w:color w:val="auto"/>
              </w:rPr>
            </w:pPr>
          </w:p>
        </w:tc>
      </w:tr>
      <w:tr>
        <w:trPr>
          <w:trHeight w:val="219"/>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0" w:type="dxa"/>
            <w:vAlign w:val="bottom"/>
          </w:tcPr>
          <w:p>
            <w:pPr>
              <w:spacing w:after="0"/>
              <w:rPr>
                <w:sz w:val="1"/>
                <w:szCs w:val="1"/>
                <w:color w:val="auto"/>
              </w:rPr>
            </w:pPr>
          </w:p>
        </w:tc>
      </w:tr>
      <w:tr>
        <w:trPr>
          <w:trHeight w:val="38"/>
        </w:trPr>
        <w:tc>
          <w:tcPr>
            <w:tcW w:w="42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(68,288)</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(96,476)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84"/>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33"/>
        </w:trPr>
        <w:tc>
          <w:tcPr>
            <w:tcW w:w="1160" w:type="dxa"/>
            <w:vAlign w:val="bottom"/>
            <w:tcBorders>
              <w:top w:val="single" w:sz="8" w:color="0000FF"/>
            </w:tcBorders>
          </w:tcPr>
          <w:p>
            <w:pPr>
              <w:spacing w:after="0"/>
              <w:rPr>
                <w:sz w:val="24"/>
                <w:szCs w:val="24"/>
                <w:color w:val="auto"/>
              </w:rPr>
            </w:pPr>
          </w:p>
        </w:tc>
        <w:tc>
          <w:tcPr>
            <w:tcW w:w="7420" w:type="dxa"/>
            <w:vAlign w:val="bottom"/>
            <w:gridSpan w:val="4"/>
          </w:tcPr>
          <w:p>
            <w:pPr>
              <w:jc w:val="center"/>
              <w:ind w:left="1438"/>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3"/>
        </w:trPr>
        <w:tc>
          <w:tcPr>
            <w:tcW w:w="1160" w:type="dxa"/>
            <w:vAlign w:val="bottom"/>
          </w:tcPr>
          <w:p>
            <w:pPr>
              <w:spacing w:after="0"/>
              <w:rPr>
                <w:sz w:val="18"/>
                <w:szCs w:val="18"/>
                <w:color w:val="auto"/>
              </w:rPr>
            </w:pPr>
          </w:p>
        </w:tc>
        <w:tc>
          <w:tcPr>
            <w:tcW w:w="5760" w:type="dxa"/>
            <w:vAlign w:val="bottom"/>
          </w:tcPr>
          <w:p>
            <w:pPr>
              <w:jc w:val="center"/>
              <w:ind w:left="309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20" w:type="dxa"/>
            <w:vAlign w:val="bottom"/>
            <w:gridSpan w:val="7"/>
          </w:tcPr>
          <w:p>
            <w:pPr>
              <w:jc w:val="right"/>
              <w:ind w:right="786"/>
              <w:spacing w:after="0"/>
              <w:rPr>
                <w:sz w:val="20"/>
                <w:szCs w:val="20"/>
                <w:color w:val="auto"/>
              </w:rPr>
            </w:pPr>
            <w:r>
              <w:rPr>
                <w:rFonts w:ascii="Times New Roman" w:cs="Times New Roman" w:eastAsia="Times New Roman" w:hAnsi="Times New Roman"/>
                <w:sz w:val="16"/>
                <w:szCs w:val="16"/>
                <w:color w:val="auto"/>
              </w:rPr>
              <w:t>Nine months ended September 30, 2022</w:t>
            </w:r>
          </w:p>
        </w:tc>
      </w:tr>
      <w:tr>
        <w:trPr>
          <w:trHeight w:val="25"/>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2"/>
        </w:trPr>
        <w:tc>
          <w:tcPr>
            <w:tcW w:w="1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As Previously</w:t>
            </w: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Restatement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5"/>
        </w:trPr>
        <w:tc>
          <w:tcPr>
            <w:tcW w:w="11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Reported</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21"/>
                <w:szCs w:val="21"/>
                <w:color w:val="auto"/>
              </w:rPr>
            </w:pP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As Restated</w:t>
            </w:r>
          </w:p>
        </w:tc>
      </w:tr>
      <w:tr>
        <w:trPr>
          <w:trHeight w:val="25"/>
        </w:trPr>
        <w:tc>
          <w:tcPr>
            <w:tcW w:w="69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8"/>
        </w:trPr>
        <w:tc>
          <w:tcPr>
            <w:tcW w:w="1160" w:type="dxa"/>
            <w:vAlign w:val="bottom"/>
          </w:tcPr>
          <w:p>
            <w:pPr>
              <w:spacing w:after="0"/>
              <w:rPr>
                <w:sz w:val="6"/>
                <w:szCs w:val="6"/>
                <w:color w:val="auto"/>
              </w:rPr>
            </w:pPr>
          </w:p>
        </w:tc>
        <w:tc>
          <w:tcPr>
            <w:tcW w:w="5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8"/>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(108,392)</w:t>
            </w:r>
          </w:p>
        </w:tc>
        <w:tc>
          <w:tcPr>
            <w:tcW w:w="80" w:type="dxa"/>
            <w:vAlign w:val="bottom"/>
          </w:tcPr>
          <w:p>
            <w:pPr>
              <w:spacing w:after="0"/>
              <w:rPr>
                <w:sz w:val="19"/>
                <w:szCs w:val="19"/>
                <w:color w:val="auto"/>
              </w:rPr>
            </w:pPr>
          </w:p>
        </w:tc>
        <w:tc>
          <w:tcPr>
            <w:tcW w:w="1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(6,226)</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(114,618)</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8"/>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17,801</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15,899</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operating lease ROU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105,569</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Loss on foreign exchange</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13,092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13,092</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Capitalization of paid-in-kind interest on long-term debt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12,544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149</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Amortization of debt discounts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3,374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share-settled redemption feature and gain on conversion of convertible notes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(29,512)</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Change in fair value of SPAC Warrants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(23,599)</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 in fair value of Earn Out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(94,299)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(94,299)</w:t>
            </w:r>
          </w:p>
        </w:tc>
      </w:tr>
      <w:tr>
        <w:trPr>
          <w:trHeight w:val="203"/>
        </w:trPr>
        <w:tc>
          <w:tcPr>
            <w:tcW w:w="6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1,362</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(2,291)</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Prepaid expenses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7,304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(27,765)</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Accrued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21,264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Taxes payable</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7,165</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33,804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Operating lease ROU assets and operating lease liabilities, net</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(67,168)</w:t>
            </w:r>
          </w:p>
        </w:tc>
      </w:tr>
      <w:tr>
        <w:trPr>
          <w:trHeight w:val="203"/>
        </w:trPr>
        <w:tc>
          <w:tcPr>
            <w:tcW w:w="69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Other current and non-current liabilities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(124,092)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(123,081)</w:t>
            </w:r>
          </w:p>
        </w:tc>
      </w:tr>
      <w:tr>
        <w:trPr>
          <w:trHeight w:val="18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(24,590)</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Capitalization of internal-use software</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(27,100)</w:t>
            </w:r>
          </w:p>
        </w:tc>
      </w:tr>
      <w:tr>
        <w:trPr>
          <w:trHeight w:val="18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Delayed Draw Notes</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159,225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159,225</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Repayment of debt and payment of early termination fees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(27,745)</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business combination and PIPE offering</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325,928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325,928</w:t>
            </w:r>
          </w:p>
        </w:tc>
      </w:tr>
      <w:tr>
        <w:trPr>
          <w:trHeight w:val="20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Common stock issuance costs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(58,555)</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exercise of stock options and common stock warrants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1,702</w:t>
            </w:r>
          </w:p>
        </w:tc>
      </w:tr>
      <w:tr>
        <w:trPr>
          <w:trHeight w:val="195"/>
        </w:trPr>
        <w:tc>
          <w:tcPr>
            <w:tcW w:w="692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400,555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400,555</w:t>
            </w:r>
          </w:p>
        </w:tc>
      </w:tr>
      <w:tr>
        <w:trPr>
          <w:trHeight w:val="29"/>
        </w:trPr>
        <w:tc>
          <w:tcPr>
            <w:tcW w:w="69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5"/>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Effects of foreign exchange on cash</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w:t>
            </w:r>
          </w:p>
        </w:tc>
      </w:tr>
      <w:tr>
        <w:trPr>
          <w:trHeight w:val="19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248,514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248,514</w:t>
            </w:r>
          </w:p>
        </w:tc>
      </w:tr>
      <w:tr>
        <w:trPr>
          <w:trHeight w:val="29"/>
        </w:trPr>
        <w:tc>
          <w:tcPr>
            <w:tcW w:w="6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69,941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69,941</w:t>
            </w:r>
          </w:p>
        </w:tc>
      </w:tr>
      <w:tr>
        <w:trPr>
          <w:trHeight w:val="222"/>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318,455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318,455</w:t>
            </w: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1">
            <w:col w:w="11260"/>
          </w:cols>
          <w:pgMar w:left="320" w:top="11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Exchange Act, as of the end of the period covered by this report.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Management’s Annual Report on Internal Control Over Financial Reporting</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Management, including our principal executive officer and principal financial officer,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our financial statements for external purposes in accordance with U.S. GAAP.</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designing and evaluating our internal control over financial reporting, management recognizes that internal control over financial reporting, no matter how well designed and operated, can provide only reasonable assurance of achieving the desired control objectives. In addition, the design of internal control over financial reporting must reflect the fact that there are resource constraints, and that management is required to apply its judgment in evaluating the benefits of possible internal control over financial reporting relative to their costs.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 and principal financial officer, we have conducted an evaluation of the effectiveness of our internal control over financial reporting based on criteria established in Internal Control — Integrated Framework (2013) issued by the Committee of Sponsoring Organizations of the Treadway Commission (“COSO”). Based on management’s evaluation, our principal executive officer and principal financial officer concluded that because of material weaknesses disclosed below, our internal control over financial reporting as of December 31, 2023 was not effective.</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Notwithstanding the identified material weaknesses, management, including our principal executive officer and principal financial officer, believes the consolidated financial statements included in this Annual Report on Form 10-K fairly represent in all material respects our results of operations, financial condition, and cash flows at and for the periods presented in accordance with U.S.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management’s identified material weaknesses in internal control over financial reporting</w:t>
      </w:r>
      <w:r>
        <w:rPr>
          <w:rFonts w:ascii="Times New Roman" w:cs="Times New Roman" w:eastAsia="Times New Roman" w:hAnsi="Times New Roman"/>
          <w:sz w:val="16"/>
          <w:szCs w:val="16"/>
          <w:i w:val="1"/>
          <w:iCs w:val="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Leases</w:t>
      </w:r>
    </w:p>
    <w:p>
      <w:pPr>
        <w:spacing w:after="0" w:line="2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previously identified a material weakness in our internal control over financial reporting related to the control deficiencies in the process to capture and record lease agreements timely and accurately. Management has concluded that this material weakness in internal control over financial reporting is due to the fact that the Company did not have the adequate resources with the appropriate level of experience and technical expertise to oversee the Company’s leasing business processes and related internal control. This remains a material weakness as of December 31, 2023 as changes to the relevant controls did not operate for a sufficient period of time to evidence such controls to be operating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Control Activities and Control Environment</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Given the aggregation of the lease material weakness noted above and other control deficiencies, we have identified related COSO material weaknesses, including: (i) deficiencies in the principles associated with the control activities component of the COSO framework relating to establishment of formal policies and procedures and consistent application thereof, and (ii) deficiencies in the principles associated with the control environment component of the COSO framework relating to hiring and training sufficient personnel to timely support the Company’s internal control objectives to ascertain whether the components of internal control are present and functioning.</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Asset Impairment</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Management identified a material weakness regarding the lack of design and effective controls to identify and consider relevant impairment indicators, determination of asset valuation, and possible impairment of assets, including right-of-use assets.</w:t>
      </w:r>
    </w:p>
    <w:p>
      <w:pPr>
        <w:spacing w:after="0" w:line="164" w:lineRule="exact"/>
        <w:rPr>
          <w:sz w:val="20"/>
          <w:szCs w:val="20"/>
          <w:color w:val="auto"/>
        </w:rPr>
      </w:pPr>
    </w:p>
    <w:p>
      <w:pPr>
        <w:ind w:right="780"/>
        <w:spacing w:after="0" w:line="293" w:lineRule="auto"/>
        <w:rPr>
          <w:sz w:val="20"/>
          <w:szCs w:val="20"/>
          <w:color w:val="auto"/>
        </w:rPr>
      </w:pPr>
      <w:r>
        <w:rPr>
          <w:rFonts w:ascii="Times New Roman" w:cs="Times New Roman" w:eastAsia="Times New Roman" w:hAnsi="Times New Roman"/>
          <w:sz w:val="16"/>
          <w:szCs w:val="16"/>
          <w:color w:val="auto"/>
        </w:rPr>
        <w:t xml:space="preserve">As discussed in Note 2, </w:t>
      </w:r>
      <w:r>
        <w:rPr>
          <w:rFonts w:ascii="Times New Roman" w:cs="Times New Roman" w:eastAsia="Times New Roman" w:hAnsi="Times New Roman"/>
          <w:sz w:val="16"/>
          <w:szCs w:val="16"/>
          <w:i w:val="1"/>
          <w:iCs w:val="1"/>
          <w:color w:val="auto"/>
        </w:rPr>
        <w:t>Restatement of Previously Issued Financial Statements</w:t>
      </w:r>
      <w:r>
        <w:rPr>
          <w:rFonts w:ascii="Times New Roman" w:cs="Times New Roman" w:eastAsia="Times New Roman" w:hAnsi="Times New Roman"/>
          <w:sz w:val="16"/>
          <w:szCs w:val="16"/>
          <w:color w:val="auto"/>
        </w:rPr>
        <w:t xml:space="preserve"> to the consolidated financial statements, the Company restated its 2021 and 2022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Remediation Plans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Leases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Throughout 2023, we onboarded new team members with a greater level of experience and technical expertise to oversee key areas of our finance function, such as accounting which includes the Company’s leasing business processes and related internal controls. We also implemented improvements related to our lease process to capture and record lease agreements timely and accurately and we provided additional training to personnel responsible for the relevant controls. However, our enhancements did not operate for a sufficient period of time in 2023 to allow a reasonable period of evaluation for remediation of this material weakness to be considered complete.</w:t>
      </w:r>
    </w:p>
    <w:p>
      <w:pPr>
        <w:spacing w:after="0" w:line="38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To remediate our lease material weaknesses, we will continue to focus on hiring talent with an appropriate level of experience and technical expertise to oversee key areas of our finance function, which includes the performance of controls over the Company’s accounting for leases. We will also continue to implement control design changes related to our lease process to capture and record lease agreements timely and accurately, and provided additional training to personnel responsible for the relevant controls. Further, we will continue to invest in appropriate resources with the level of experience and technical expertise necessary to design and operate effectively internal controls over our accounting for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Control Activities and Control Environment</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Throughout 2023, we implemented improvements related to our establishment of formal policies and procedures in addition to onboarding more sufficient personnel to support our internal control objectives. However, our enhancements did not operate for a sufficient period of time in 2023 to allow a reasonable period of evaluation for remediation of this material weakness to be considered complete.</w:t>
      </w:r>
    </w:p>
    <w:p>
      <w:pPr>
        <w:spacing w:after="0" w:line="18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To remediate our control activities and control environment material weaknesses, we have and are implementing improvements related to our establishment of formal policies and procedures in addition to hiring more sufficient personnel to support our internal control objectives. We will continue developing and maintaining policies and procedures. Additionally, we are committed to hiring sufficient personnel which are appropriate in both qualifications and experience for their relevant roles. We have made notable progress in this area and will continue to evaluate our organization for areas of opportunity and further enhancement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Asset Impairment</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To remediate our asset impairment material weakness, we have and are implementing control improvements for assessing and valuing asset impairments, particularly as they apply to our ROU lease assets and related items, including but not limited to the use of qualified, external subject matter professionals during our asset impairment process. We will continue to execute and evaluate operating effectiveness of adequate internal control over our asset impairment evaluation and valuation process.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changes to the design and performance of controls are implemented, we will need a sufficient period of time to evaluate the operating effectiveness of such controls.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Other than as discussed above, during the period covered by this report, there has been no change in our internal control over financial reporting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During the quarter ended December 31, 2023, none of the Company’s directors or Section 16 officers adopted or terminated any “Rule 10b5-1 trading arrangement” or any “non-Rule 10b5-1 trading arrangement,” as each term is defined in Item 408(a) of Regulation S-K.</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On September 26, 2024, the Company entered into a Waiver Agreement (the “SVB Waiver”), by and among the Company, certain of its domestic subsidiaries party thereto, as co-borrowers (together with the Company, the “Borrowers”), and Silicon Valley Bank, a division of First-Citizens Bank &amp; Trust Company (“SVB”), as lender, in which SVB waived any Default or Event of Default each as defined in the Loan and Security Agreement dated as of December 21, 2022, as amended by the First Amendment to Loan and Security Agreement dated as of April 28, 2023, the Second Amendment to Loan and Security Agreement dated as of November 6, 2023, the Waiver and Third Amendment to Loan and Security Agreement dated as of June 10, 2024 and the Fourth Amendment to Loan and Security Agreement dated July 12, 2024 (the “Loan Agreement”), by and among the Borrowers and SVB related to the going concern explanatory paragraph. The going concern explanatory paragraph also constitutes a default under the Delayed Draw Note Purchase Agreement, subject to a 30 day cure period. We are in discussions with the Purchasers under the Delayed Draw Note Purchase Agreement to obtain a waiver for this default. SVB and its affiliates have engaged in, and may in the future engage in, banking and other commercial dealings in the ordinary course of business with Borrowers or their affiliates. They have received, or may in the future receive, customary fees and commissions for these transactions.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foregoing description of the SVB Waiver does not purport to be complete and is qualified in its entirety by reference to the copy of the Waiver Agreement filed as Exhibit 10.32 to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236" w:lineRule="exact"/>
        <w:rPr>
          <w:sz w:val="20"/>
          <w:szCs w:val="20"/>
          <w:color w:val="auto"/>
        </w:rPr>
      </w:pPr>
    </w:p>
    <w:p>
      <w:pPr>
        <w:ind w:right="3620"/>
        <w:spacing w:after="0" w:line="291"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our executive officers and directors, as of September 16, 2024:</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Age</w:t>
            </w: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Position(s) with the Company</w:t>
            </w:r>
          </w:p>
        </w:tc>
      </w:tr>
      <w:tr>
        <w:trPr>
          <w:trHeight w:val="38"/>
        </w:trPr>
        <w:tc>
          <w:tcPr>
            <w:tcW w:w="3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r>
      <w:tr>
        <w:trPr>
          <w:trHeight w:val="229"/>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Francis Davidson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2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 (Chairperson of the Board)</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Dominique Bourgault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38"/>
        </w:trPr>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237"/>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Martin Picard</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1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Real Estate Officer</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Katherine E. Potter</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Legal and Administrative Officer and Secretary</w:t>
            </w:r>
          </w:p>
        </w:tc>
      </w:tr>
      <w:tr>
        <w:trPr>
          <w:trHeight w:val="38"/>
        </w:trPr>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237"/>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Adam K. Bowen</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Frits Dirk van Paasschen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38"/>
        </w:trPr>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237"/>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Janice Sears</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Sanjay Banker</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38"/>
        </w:trPr>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237"/>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Nabeel Hyatt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Prashant (Sean) Aggarwal</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38"/>
        </w:trPr>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0" w:type="dxa"/>
            <w:vAlign w:val="bottom"/>
          </w:tcPr>
          <w:p>
            <w:pPr>
              <w:spacing w:after="0"/>
              <w:rPr>
                <w:sz w:val="3"/>
                <w:szCs w:val="3"/>
                <w:color w:val="auto"/>
              </w:rPr>
            </w:pPr>
          </w:p>
        </w:tc>
      </w:tr>
      <w:tr>
        <w:trPr>
          <w:trHeight w:val="237"/>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Michelle Frymire</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9"/>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Simon Turner</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3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Francis Davidson</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Francis Davidson has served as our Chief Executive Officer and Chairperson of the Board since the closing of the Business Combination in January 2022. Mr. Davidson co-founded Legacy Sonder and previously served as its Chief Executive Officer and Chairperson since January 2014. Mr. Davidson attended McGill University where he studied Philosophy and Economics. In the summer of 2012, after his first year at McGill University, Mr. Davidson sublet his college apartment to vacationers in Montreal. Over the next two years, he went on to manage the empty apartments of other students in many different cities, ultimately leaving McGill to pursue Sonder full-time with a vision to redefine hospitality by bringing exceptional stays everywhere.</w:t>
      </w:r>
    </w:p>
    <w:p>
      <w:pPr>
        <w:spacing w:after="0" w:line="188" w:lineRule="exact"/>
        <w:rPr>
          <w:sz w:val="20"/>
          <w:szCs w:val="20"/>
          <w:color w:val="auto"/>
        </w:rPr>
      </w:pPr>
    </w:p>
    <w:p>
      <w:pPr>
        <w:ind w:right="3360"/>
        <w:spacing w:after="0" w:line="291" w:lineRule="auto"/>
        <w:rPr>
          <w:sz w:val="20"/>
          <w:szCs w:val="20"/>
          <w:color w:val="auto"/>
        </w:rPr>
      </w:pPr>
      <w:r>
        <w:rPr>
          <w:rFonts w:ascii="Times New Roman" w:cs="Times New Roman" w:eastAsia="Times New Roman" w:hAnsi="Times New Roman"/>
          <w:sz w:val="16"/>
          <w:szCs w:val="16"/>
          <w:color w:val="auto"/>
        </w:rPr>
        <w:t>Mr. Davidson brings to the Board his perspective and experience as our current Chief Executive Officer and as the Chief Executive Officer and a co-founder of Legacy Sonder.</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Dominique Bourgault</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Dominique Bourgault has served as our Chief Financial Officer since March 2023. Mr. Bourgault joined the Company from Blue Nile, Inc. (“Blue Nile”), a pioneer retailer in online diamonds and fine jewelry, where he served as the Chief Financial Officer from March 2020 to October 2022. Before Blue Nile, Mr. Bourgault was at Expedia Group, Inc. (“Expedia”). He joined Expedia in October 2002 and served in a variety of finance roles of increasing responsibility, including serving as Chief Financial Officer, Retail from November 2019 to March 2020, Interim Head of Division, Brand Expedia Group from July 2019 to October 2019, Chief Financial Officer, Brand Expedia Group, from September 2016 to October 2019, Senior Vice President of Corporate Finance from January 2012 to September 2016, interim CFO of Hotels.com LP from October 2014 to August 2015, Vice President of Finance, Partner Services Group from June 2010 to January 2012, Senior Director, Financial Planning and Analysis Expedia Worldwide from February 2009 to July 2010, and held various financial planning and analysis leadership roles from 2002 until 2010. Mr. Bourgault holds a Bachelor of Business Administration from HEC Montréal and is a Canadian Chartered Professional Accountant.</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Martin Picard</w:t>
      </w:r>
    </w:p>
    <w:p>
      <w:pPr>
        <w:spacing w:after="0" w:line="2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Martin Picard is one of Sonder’s founders and has served as our Chief Real Estate Officer since August 2022. Prior to this, Mr. Picard served as our Global Head of Real Estate since January 2022, and as Legacy Sonder’s Global Head of Real Estate since February 2019. He previously served as Legacy Sonder’s Vice President of Finance from May 2015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2019. From September 2013 to March 2015, Mr. Picard was the Chief Executive Officer of Adzura Inc., an online advertising marketplace that he co-founded.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Picard holds a Bachelor of Commerce in Accounting from Concordia University.</w:t>
      </w:r>
    </w:p>
    <w:p>
      <w:pPr>
        <w:spacing w:after="0" w:line="2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Katherine E. Potter</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Katherine E. Potter has served as our Chief Legal and Administrative Officer and Secretary since April 2024 and was General Counsel and Secretary from September 2023 to April 2024. After serving as its General Counsel from February 2012 to January 2019, Ms. Potter was most recently Chief Executive Officer at AlerisLife Inc., a national provider of health and wellness services to older adults, where she guided the organization through the pandemic and diversified revenue while improving the customer experience. Ms. Potter also held executive leadership positions at The RMR Group LLC, a leading U.S. alternative asset management company uniquely focused on commercial real estate and related businesses, from October 2016 to December 2022. In addition, Ms. Potter is a frequent advisor for organizations across the health and wellness, hospitality, and travel and leisure industries. Ms. Potter holds a Bachelor’s degree in Government &amp; Politics from the University of Maryland at College Park, a Juris Doctorate from Syracuse University College of Law and a LL.M. in Banking and Financial Law from Boston University Law School.</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Adam K. Bowen</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Adam K. Bowen has served as our Chief Accounting Officer since October 2023. Prior to joining Sonder, Mr. Bowen served as the Vice President &amp; Chief Accounting Officer of BlueLinx Holdings Inc. (“BlueLinx”), a wholesale distributor of residential and commercial building products, from March 2022 to August 2023, where he was responsible for the company’s record to report functions including consolidations and financial reporting, SEC reporting, corporate tax, financial systems, internal controls, and enterprise risk management. Before serving as Vice President &amp; Chief Accounting Officer, Mr. Bowen held roles of increasing responsibility at BlueLinx, including Senior Director of Accounting &amp; Corporate Controller from January 2021 to March 2022, Director of Accounting &amp; Corporate Controller from May 2020 to January 2021, and Director of Internal Audit &amp; Enterprise Risk Management from April 2019 to May 2020. Prior to BlueLinx, from June 2015 to March 2019, Mr. Bowen served in various internal audit roles of increasing responsibility with Abbott Laboratories, and its acquired subsidiary, Alere, Inc. Mr. Bowen has held various accounting roles both in-house and in private practice from 2005 to 2015, including at KPMG LLP and Southern Company. Mr. Bowen also currently serves as an Instructor of Accounting at Kennesaw State University. Mr. Bowen is a Certified Public Accountant and holds a B.S.B.A. in Accounting and M.Acc. from the University of West Florida, and an M.B.A. from Florida State University.</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Frits Dirk van Paasschen</w:t>
      </w:r>
    </w:p>
    <w:p>
      <w:pPr>
        <w:spacing w:after="0" w:line="2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Frits Dirk van Paasschen has served as one of Sonder’s directors since the closing of the Business Combination in January 2022 and previously served as one of Legacy Sonder’s directors since February 2020. From September 2007 to February 2015, Mr. van Paasschen served as the President and Chief Executive Officer of Starwood Hotels and Resorts Worldwide, LLC, a hotel company acquired by Marriott International, Inc. Prior to joining Starwood, he was the President and Chief Executive Officer of Coors Brewing Company from February 2005 to September 2007. He serves on the board of directors at dsm-firmenich, a Netherlands-based science company specializing in nutrition and health, and Williams-Sonoma, Inc., a consumer retail company specializing in kitchen-wares and home furnishings. Mr. van Paasschen also serves on the board of directors of Amadeus, a provider of digital services to the travel industry. He also serves on the board of two private companies and is an advisor to a global investment firm. Mr. van Paasschen holds a B.A. in Economics and Biology from Amherst College and an M.B.A. from Harvard Business School.</w:t>
      </w:r>
    </w:p>
    <w:p>
      <w:pPr>
        <w:spacing w:after="0" w:line="191" w:lineRule="exact"/>
        <w:rPr>
          <w:sz w:val="20"/>
          <w:szCs w:val="20"/>
          <w:color w:val="auto"/>
        </w:rPr>
      </w:pPr>
    </w:p>
    <w:p>
      <w:pPr>
        <w:ind w:right="3800"/>
        <w:spacing w:after="0" w:line="291" w:lineRule="auto"/>
        <w:rPr>
          <w:sz w:val="20"/>
          <w:szCs w:val="20"/>
          <w:color w:val="auto"/>
        </w:rPr>
      </w:pPr>
      <w:r>
        <w:rPr>
          <w:rFonts w:ascii="Times New Roman" w:cs="Times New Roman" w:eastAsia="Times New Roman" w:hAnsi="Times New Roman"/>
          <w:sz w:val="16"/>
          <w:szCs w:val="16"/>
          <w:color w:val="auto"/>
        </w:rPr>
        <w:t>Mr. van Paasschen brings to the Board his extensive knowledge of the real estate and hospitality industries and his international experience.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Janice L. Sears</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Janice L. Sears has served as one of Sonder’s directors since the closing of the Business Combination in January 2022 and as Lead Independent Director since December 2023, and previously served as one of Legacy Sonder’s directors since August 2021. From April 1988 to January 2009, Ms. Sears served in a variety of positions at Banc of America Securities, an investment bank, including as Managing Director, Western Region Head in the Real Estate, Gaming &amp; Lodging Investment Banking Group. She concurrently served as the San Francisco Market President for Bank of America, a financial services company. Prior to this, Ms. Sears was a Real Estate Economist at both Chemical Bank and Citicorp. She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6" w:name="page177"/>
    <w:bookmarkEnd w:id="176"/>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serves on the board of directors as a member of the Compensation Committee and Audit Committee at Invitation Homes Inc. (NYSE: INVH), a single-family home rental business. Ms. Sears also serves on the board of directors as Audit Committee Chair and a member of the Compensation Committee at IQHQ, Inc., a life sciences real estate investment trust. Ms. Sears previously served on the board and as Audit Committee Chair of both Essex Property Trust Inc. (NYSE: ESS), a multi-family real estate investment trust, and BioMed Realty Trust (acquired by Blackstone, 2016), a life sciences real estate investment trust. She has also served on the board of several non-profit organizations and private companies, including Board Chair of The Swig Company, an owner of office buildings in New York and California. Ms. Sears holds a B.A. in both Economics and Marketing from the University of Delaware.</w:t>
      </w:r>
    </w:p>
    <w:p>
      <w:pPr>
        <w:spacing w:after="0" w:line="191" w:lineRule="exact"/>
        <w:rPr>
          <w:sz w:val="20"/>
          <w:szCs w:val="20"/>
          <w:color w:val="auto"/>
        </w:rPr>
      </w:pPr>
    </w:p>
    <w:p>
      <w:pPr>
        <w:ind w:left="2" w:right="3460"/>
        <w:spacing w:after="0" w:line="291" w:lineRule="auto"/>
        <w:rPr>
          <w:sz w:val="20"/>
          <w:szCs w:val="20"/>
          <w:color w:val="auto"/>
        </w:rPr>
      </w:pPr>
      <w:r>
        <w:rPr>
          <w:rFonts w:ascii="Times New Roman" w:cs="Times New Roman" w:eastAsia="Times New Roman" w:hAnsi="Times New Roman"/>
          <w:sz w:val="16"/>
          <w:szCs w:val="16"/>
          <w:color w:val="auto"/>
        </w:rPr>
        <w:t>Ms. Sears brings to the Board her extensive financial background and experience working in the commercial real estate industry.</w:t>
      </w:r>
    </w:p>
    <w:p>
      <w:pPr>
        <w:spacing w:after="0" w:line="16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Sanjay Banker</w:t>
      </w:r>
    </w:p>
    <w:p>
      <w:pPr>
        <w:spacing w:after="0" w:line="234"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color w:val="auto"/>
        </w:rPr>
        <w:t>Sanjay Banker has served as one of Sonder’s directors Sonder since January 2023. Mr. Banker has served as the Chief Executive Officer of Private Medical, a leading high-end concierge medicine provider, since June 2024. Mr. Banker previously served as the Company’s President and Chief Financial Officer from January 2022 to December 2022, and prior to this, served the Company’s predecessor company as Chief Financial Officer since January 2019 and also its President since September 2020. Prior to joining the Company, Mr. Banker was with TPG Growth, an investment firm, from March 2013 to January 2019, where he served most recently as a Partner. From September 2004 to March 2013, he was with Bain Capital, an investment firm, where he served most recently as a Principal. Prior to that, Mr. Banker was with McKinsey</w:t>
      </w:r>
    </w:p>
    <w:p>
      <w:pPr>
        <w:spacing w:after="0" w:line="2" w:lineRule="exact"/>
        <w:rPr>
          <w:sz w:val="20"/>
          <w:szCs w:val="20"/>
          <w:color w:val="auto"/>
        </w:rPr>
      </w:pPr>
    </w:p>
    <w:p>
      <w:pPr>
        <w:ind w:left="2" w:right="20" w:hanging="2"/>
        <w:spacing w:after="0" w:line="271" w:lineRule="auto"/>
        <w:tabs>
          <w:tab w:leader="none" w:pos="17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 management consulting firm, from September 1996 to August 2004, where he served most recently as an Engagement Manager. Mr. Banker holds a B.S. in Economics from the Wharton School at the University of Pennsylvania and an M.B.A. from Harvard Business School.</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Mr. Banker brings to the Board his perspective and experience as our former President and Chief Financial Officer.</w:t>
      </w:r>
    </w:p>
    <w:p>
      <w:pPr>
        <w:spacing w:after="0" w:line="23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Nabeel Hyatt</w:t>
      </w:r>
    </w:p>
    <w:p>
      <w:pPr>
        <w:spacing w:after="0" w:line="234" w:lineRule="exact"/>
        <w:rPr>
          <w:sz w:val="20"/>
          <w:szCs w:val="20"/>
          <w:color w:val="auto"/>
        </w:rPr>
      </w:pPr>
    </w:p>
    <w:p>
      <w:pPr>
        <w:jc w:val="both"/>
        <w:ind w:left="2" w:right="20"/>
        <w:spacing w:after="0" w:line="264" w:lineRule="auto"/>
        <w:rPr>
          <w:sz w:val="20"/>
          <w:szCs w:val="20"/>
          <w:color w:val="auto"/>
        </w:rPr>
      </w:pPr>
      <w:r>
        <w:rPr>
          <w:rFonts w:ascii="Times New Roman" w:cs="Times New Roman" w:eastAsia="Times New Roman" w:hAnsi="Times New Roman"/>
          <w:sz w:val="16"/>
          <w:szCs w:val="16"/>
          <w:color w:val="auto"/>
        </w:rPr>
        <w:t>Nabeel Hyatt has served as one of Sonder’s directors since the closing of the Business Combination in January 2022 and previously served as one of Legacy Sonder’s directors since February 2016. Mr. Hyatt joined Spark Capital, a venture capital firm, in February 2012 and currently serves as a General Partner. He has served on the boards of several privately-held companies. From August 2010 to February 2012, Mr. Hyatt served as the General Manager of Zynga Inc., a social game developer. Prior to this, from March 2007 to August 2010, Mr. Hyatt served as the Chief Executive Officer of Conduit Labs, an early social gaming company he co-founded that was acquired by Zynga. Mr. Hyatt studied Computer Science at Purdue University and holds a B.A. in Design from the Maryland Institute College of Art.</w:t>
      </w:r>
    </w:p>
    <w:p>
      <w:pPr>
        <w:spacing w:after="0" w:line="188" w:lineRule="exact"/>
        <w:rPr>
          <w:sz w:val="20"/>
          <w:szCs w:val="20"/>
          <w:color w:val="auto"/>
        </w:rPr>
      </w:pPr>
    </w:p>
    <w:p>
      <w:pPr>
        <w:ind w:left="2" w:right="3960"/>
        <w:spacing w:after="0" w:line="291" w:lineRule="auto"/>
        <w:rPr>
          <w:sz w:val="20"/>
          <w:szCs w:val="20"/>
          <w:color w:val="auto"/>
        </w:rPr>
      </w:pPr>
      <w:r>
        <w:rPr>
          <w:rFonts w:ascii="Times New Roman" w:cs="Times New Roman" w:eastAsia="Times New Roman" w:hAnsi="Times New Roman"/>
          <w:sz w:val="16"/>
          <w:szCs w:val="16"/>
          <w:color w:val="auto"/>
        </w:rPr>
        <w:t>Mr. Hyatt brings to the Board his operational experience in the technology industry and extensive knowledge of high-growth companies.</w:t>
      </w:r>
    </w:p>
    <w:p>
      <w:pPr>
        <w:spacing w:after="0" w:line="16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Prashant (Sean) Aggarwal</w:t>
      </w:r>
    </w:p>
    <w:p>
      <w:pPr>
        <w:spacing w:after="0" w:line="234" w:lineRule="exact"/>
        <w:rPr>
          <w:sz w:val="20"/>
          <w:szCs w:val="20"/>
          <w:color w:val="auto"/>
        </w:rPr>
      </w:pPr>
    </w:p>
    <w:p>
      <w:pPr>
        <w:jc w:val="both"/>
        <w:ind w:left="2" w:right="20"/>
        <w:spacing w:after="0" w:line="260" w:lineRule="auto"/>
        <w:rPr>
          <w:sz w:val="20"/>
          <w:szCs w:val="20"/>
          <w:color w:val="auto"/>
        </w:rPr>
      </w:pPr>
      <w:r>
        <w:rPr>
          <w:rFonts w:ascii="Times New Roman" w:cs="Times New Roman" w:eastAsia="Times New Roman" w:hAnsi="Times New Roman"/>
          <w:sz w:val="16"/>
          <w:szCs w:val="16"/>
          <w:color w:val="auto"/>
        </w:rPr>
        <w:t>Prashant (Sean) Aggarwal has served as one of Sonder’s directors since October 2022. Since February 2022, Mr. Aggarwal has served as Co-Founder and Chairman of Borderless AI, an artificial intelligence-powered human resource management platform. Since March 2016, Mr. Aggarwal has served as the Chief Executive Officer of Soar Capital, LLC, where he focuses on investments in early-stage technology companies. Previously, Mr. Aggarwal served as the Chief Financial Officer at Trulia, Inc., an online real estate company. Prior to Trulia, Mr. Aggarwal served as the Vice President of Finance at PayPal, Inc., an online payments company, and at eBay Inc. in various finance roles including as Vice President of Finance. Prior to eBay Inc., Mr. Aggarwal served as Director of Finance at Amazon.com, Inc., an e-commerce company. Mr. Aggarwal started his career in investment banking with Merrill Lynch, Pierce, Fenner &amp; Smith Incorporated, a financial services company. Mr. Aggarwal also serves as a member of the board of directors of Arlo Technologies, Inc., a home security company, and Lyft, Inc., a transportation company. In addition, in the past five years, he served on the board of directors of Yatra Online, Inc., an online travel company. Mr. Aggarwal holds a Master of Management from Northwestern University, Kellogg School of Management.</w:t>
      </w:r>
    </w:p>
    <w:p>
      <w:pPr>
        <w:spacing w:after="0" w:line="389" w:lineRule="exact"/>
        <w:rPr>
          <w:sz w:val="20"/>
          <w:szCs w:val="20"/>
          <w:color w:val="auto"/>
        </w:rPr>
      </w:pPr>
    </w:p>
    <w:p>
      <w:pPr>
        <w:ind w:left="2" w:right="3380"/>
        <w:spacing w:after="0" w:line="291" w:lineRule="auto"/>
        <w:rPr>
          <w:sz w:val="20"/>
          <w:szCs w:val="20"/>
          <w:color w:val="auto"/>
        </w:rPr>
      </w:pPr>
      <w:r>
        <w:rPr>
          <w:rFonts w:ascii="Times New Roman" w:cs="Times New Roman" w:eastAsia="Times New Roman" w:hAnsi="Times New Roman"/>
          <w:sz w:val="16"/>
          <w:szCs w:val="16"/>
          <w:color w:val="auto"/>
        </w:rPr>
        <w:t>Mr. Aggarwal brings to the Board his significant operational experience as an executive with technology companies, and his deep understanding of finance, financial reporting, strategy, operations and risk management.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Michelle Frymire</w:t>
      </w: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Michelle Frymire has served as one of Sonder’s directors since September 2022. Ms. Frymire most recently served as Chief Executive Officer of CWT (formerly Carlson Wagonlit Travel), a travel management platform, from May 2021 to May 2022. Ms. Frymire was responsible for leading the company through and beyond the impact of the pandemic, driving the company’s global strategy and overseeing significant investment in the company’s product and technology platforms. As a travel management platform, CWT was heavily impacted by the COVID-19 pandemic and with the support of nearly all of its debtholders the company filed a pre-packaged Chapter 11 bankruptcy on November 11, 2021 in the U.S. Bankruptcy Court for the Southern District of Texas. CWT’s plan of reorganization was approved by the Bankruptcy Court the following day, on November 12, 2021, and CWT was able to exit Chapter 11 on November 19, 2021. Previous to serving as the CEO, Ms. Frymire was President and CFO and was responsible for driving global business strategy and transformation by building an integrated and collaborative approach to business support and change across CWT. She oversaw the accounting and finance, procurement, real estate, enterprise strategy and planning, human resources and technology functions globally for CWT. Prior to joining CWT in January 2019, Ms. Frymire was Chief Financial Officer for U.S. Risk Insurance Group, LLC, a privately owned specialty lines underwriting manager and wholesale broker, from 2017 to 2019. From 2015 to 2017 she served as Chief Financial Officer for Service King Collision Repair Centers. From 2009 to 2015 she served in a variety of roles for The Service Master Companies, Inc., most recently as Vice President, Corporate FP&amp;A and Strategy. From 2009 to 2013, Ms. Frymire was Chief Financial Officer for TruGreen and from 2005 to 2009, Ms. Frymire was Chief Financial Officer, Vacation Ownership for Starwood Hotels &amp; Resorts Worldwide, Inc. From 1998 to 2005, Ms. Frymire served in a variety of roles for Delta Air Lines, Inc., including Vice President, Finance, Marketing, International, Network and Technology. Prior to this, Ms. Frymire was the Managing Director, Financial Planning, Analysis and Systems for Continental Airlines from 1994 to 1998. Lastly, from 1991 to 1994, Ms. Frymire was Senior Financial Analyst, FP&amp;A with American Airlines Group, Inc. Ms. Frymire serves as a member of the audit committee of Six Flags Entertainment Corporation (NYSE: FUN), an owner and operator of amusement parks, water parks and hotels located in the U.S. and Canada. Ms. Frymire also serves as a director on the board of directors of NCR Atleos (NYSE: NATL), a provider of ATMs and ATM servicing, where she is the chair of the audit committee and a member of the compensation committee. Ms. Frymire previously served on the board of directors and as a member of the audit and nominating &amp; governance committees of Spirit Realty Capital, Inc. (NYSE: SRC), a real estate investment trust, until January 2024 when Spirit Realty Capital, Inc. was acquired. Ms. Frymire received a B.A. in Economics from Austin College and an M.B.A. from the University of Texas at Austin McCombs School of Business.</w:t>
      </w:r>
    </w:p>
    <w:p>
      <w:pPr>
        <w:spacing w:after="0" w:line="198" w:lineRule="exact"/>
        <w:rPr>
          <w:sz w:val="20"/>
          <w:szCs w:val="20"/>
          <w:color w:val="auto"/>
        </w:rPr>
      </w:pPr>
    </w:p>
    <w:p>
      <w:pPr>
        <w:ind w:right="3300"/>
        <w:spacing w:after="0" w:line="291" w:lineRule="auto"/>
        <w:rPr>
          <w:sz w:val="20"/>
          <w:szCs w:val="20"/>
          <w:color w:val="auto"/>
        </w:rPr>
      </w:pPr>
      <w:r>
        <w:rPr>
          <w:rFonts w:ascii="Times New Roman" w:cs="Times New Roman" w:eastAsia="Times New Roman" w:hAnsi="Times New Roman"/>
          <w:sz w:val="16"/>
          <w:szCs w:val="16"/>
          <w:color w:val="auto"/>
        </w:rPr>
        <w:t>Ms. Frymire brings to the Board her extensive experience in finance and financial expertise, knowledge and experience in internal and external risk oversight, and executive leadership and management experience in the travel industry.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Simon Turner</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Simon Turner has served as one of Sonder’s directors since October 2023. Mr. Turner has over 35 years of experience in the hospitality and real estate sectors, having held senior executive roles and board seats in both public and private enterprises. In 2017, he formed Alpha Lodging Partners to make selective investments, and to provide strategic and transactional advisory services to hospitality sector companies and investors. From 2008 to 2016, he served as President, Global Development of Starwood Hotels &amp; Resorts Worldwide, where he was responsible for all global development and real estate transactional activities. Prior to that, he served as a Principal of Hotel Capital Advisers, Inc., a hotel investment advisory firm overseeing Four Seasons and Fairmont brand and property investments in North America and Europe. His past board service has included Fairmont Raffles Hotels International and Four Seasons Hotels. Additionally, Mr. Turner previously served as an independent director of ESH Hospitality, Inc., FRHI Hotels &amp; Resorts, Four Seasons Hotels Limited, ClubCorp Holdings, Watermark Lodging Trust, and Steigenberger Hotels. He currently serves as a director of Goldman Sachs Real Estate Income Trust, Purchase Senior Learning Community and Collective Retreats. Mr. Turner received a B.S. in Hotel Administration from Cornell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Turner brings to the Board his extensive experience as an executive and board member in the hospitality and real estate sectors.</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are no family relationships between any director or executive officer.</w:t>
      </w:r>
    </w:p>
    <w:p>
      <w:pPr>
        <w:spacing w:after="0" w:line="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Involvement in Certain Legal Proceedings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There are no material legal proceedings in which any director, officer or affiliate of the Company, any owner of record or beneficially of more than 5% of any class of voting securities of the Company, or any associate of any such director, officer, affiliate, or security holder is a party adverse to the Company or any of its subsidiaries or has a material interest adverse to the Company or any of its subsidiaries.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Board has adopted a Code of Business Conduct and Ethics that applies to all employees and directors, including our principal executive officer, principal financial officer, principal accounting officer, other executive officers, and other senior financial personnel. A copy of our Code of Business Conduct and Ethics is available in the Investor Relations section of our website at investors.sonder.com under “Corporate Governance—Document &amp; Charters—Governance Documents.” Information on or accessible through our website is not incorporated by reference in this Annual Report. If we make any substantive amendment to a provision of our Code of Business Conduct and Ethics that applies to, or grant any waiver from a provision of our Code of Business Conduct and Ethics to, our principal executive officer, principal financial officer, principal accounting officer or controller, or persons performing similar functions, we will promptly disclose the date and nature of the amendment or waiver (including the name of the person to whom the waiver was granted) on our website in accordance with the requirements of Item 5.05 of Current Report on Form 8-K.</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Section 16(a) of the Exchange Act requires our officers, directors and persons who beneficially own more than ten percent of our common stock to file reports of ownership and changes in ownership with the SEC. These reporting persons are also required to furnish us with copies of all Section 16(a) forms they file. To our knowledge, based solely upon a review of such reports filed with the SEC and written representations that no other reports were required, during the fiscal year ended December 31, 2023, we believe that no other reports were required and that all required reports were timely filed.</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2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Board Composition</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Board currently consists of eight members. In accordance with our Amended and Restated Certificate of Incorporation (the “Restated Certificate”) and our Bylaws, our Board is divided into three classes with staggered terms. At each annual meeting of stockholders, the successors to directors whose terms then expire will be elected to serve from the time of election and qualification until the third annual meeting following election. The authorized number of directors may be changed by resolution of the Board. Our directors are divided among the three classes as follows:</w:t>
      </w:r>
    </w:p>
    <w:p>
      <w:pPr>
        <w:spacing w:after="0" w:line="185" w:lineRule="exact"/>
        <w:rPr>
          <w:sz w:val="20"/>
          <w:szCs w:val="20"/>
          <w:color w:val="auto"/>
        </w:rPr>
      </w:pPr>
    </w:p>
    <w:p>
      <w:pPr>
        <w:ind w:left="680" w:hanging="94"/>
        <w:spacing w:after="0"/>
        <w:tabs>
          <w:tab w:leader="none" w:pos="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 directors consist of Francis Davidson, Nabeel Hyatt and Prashant (Sean) Aggarwal, whose terms expire at the 2025 annual meeting of stockholders;</w:t>
      </w:r>
    </w:p>
    <w:p>
      <w:pPr>
        <w:spacing w:after="0" w:line="27"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 directors consist of Michelle Frymire and Simon Turner, whose terms expire at the 2026 annual meeting of stockholders; and</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III directors consist of Janice Sears, Frits Dirk van Paasschen, and Sanjay Banker, whose terms expire at the 2024 annual meeting of stockholders.</w:t>
      </w:r>
    </w:p>
    <w:p>
      <w:pPr>
        <w:spacing w:after="0" w:line="2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Only one class of directors will be elected at each annual meeting of our stockholders, with the other classes continuing for the remainder of their respective terms. Each director’s term continues until the election and qualification of their successor, or their earlier death, resignation or removal.</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Board Diversity</w:t>
      </w:r>
    </w:p>
    <w:p>
      <w:pPr>
        <w:spacing w:after="0" w:line="2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Governance Committee identifies, reviews and makes recommendations of candidates to serve on our Board, and considers director qualifications that include, without limitation, diversity factors such as professional background, education, race, ethnicity, gender, age and geography, as well as other individual qualities and attributes that contribute to the total mix of viewpoints and experience represented on the Board.</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directors represent a wide variety of skills and backgrounds. The below Board Diversity Matrix reports self-identified diversity statistics for the Board in the format required by Nasdaq’s rules.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375920</wp:posOffset>
            </wp:positionV>
            <wp:extent cx="7137400" cy="1790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7400" cy="17907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Board Diversity Matrix (As of September 16, 2024)</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18"/>
              <w:spacing w:after="0"/>
              <w:rPr>
                <w:sz w:val="20"/>
                <w:szCs w:val="20"/>
                <w:color w:val="auto"/>
              </w:rPr>
            </w:pPr>
            <w:r>
              <w:rPr>
                <w:rFonts w:ascii="Times New Roman" w:cs="Times New Roman" w:eastAsia="Times New Roman" w:hAnsi="Times New Roman"/>
                <w:sz w:val="16"/>
                <w:szCs w:val="16"/>
                <w:color w:val="auto"/>
                <w:w w:val="74"/>
              </w:rPr>
              <w:t>8</w:t>
            </w:r>
          </w:p>
        </w:tc>
      </w:tr>
      <w:tr>
        <w:trPr>
          <w:trHeight w:val="219"/>
        </w:trPr>
        <w:tc>
          <w:tcPr>
            <w:tcW w:w="8160" w:type="dxa"/>
            <w:vAlign w:val="bottom"/>
          </w:tcPr>
          <w:p>
            <w:pPr>
              <w:spacing w:after="0"/>
              <w:rPr>
                <w:sz w:val="19"/>
                <w:szCs w:val="19"/>
                <w:color w:val="auto"/>
              </w:rPr>
            </w:pPr>
          </w:p>
        </w:tc>
        <w:tc>
          <w:tcPr>
            <w:tcW w:w="14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80" w:type="dxa"/>
            <w:vAlign w:val="bottom"/>
          </w:tcPr>
          <w:p>
            <w:pPr>
              <w:spacing w:after="0"/>
              <w:rPr>
                <w:sz w:val="19"/>
                <w:szCs w:val="19"/>
                <w:color w:val="auto"/>
              </w:rPr>
            </w:pPr>
          </w:p>
        </w:tc>
        <w:tc>
          <w:tcPr>
            <w:tcW w:w="1500" w:type="dxa"/>
            <w:vAlign w:val="bottom"/>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Male</w:t>
            </w:r>
          </w:p>
        </w:tc>
      </w:tr>
      <w:tr>
        <w:trPr>
          <w:trHeight w:val="38"/>
        </w:trPr>
        <w:tc>
          <w:tcPr>
            <w:tcW w:w="81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7"/>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1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58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color w:val="auto"/>
                <w:w w:val="99"/>
              </w:rPr>
              <w:t>6</w:t>
            </w:r>
          </w:p>
        </w:tc>
      </w:tr>
      <w:tr>
        <w:trPr>
          <w:trHeight w:val="38"/>
        </w:trPr>
        <w:tc>
          <w:tcPr>
            <w:tcW w:w="8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1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Asian</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color w:val="auto"/>
                <w:w w:val="99"/>
              </w:rPr>
              <w:t>2</w:t>
            </w:r>
          </w:p>
        </w:tc>
      </w:tr>
      <w:tr>
        <w:trPr>
          <w:trHeight w:val="38"/>
        </w:trPr>
        <w:tc>
          <w:tcPr>
            <w:tcW w:w="8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Hispanic or Latinx</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White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580" w:type="dxa"/>
            <w:vAlign w:val="bottom"/>
            <w:gridSpan w:val="2"/>
          </w:tcPr>
          <w:p>
            <w:pPr>
              <w:jc w:val="center"/>
              <w:ind w:left="18"/>
              <w:spacing w:after="0"/>
              <w:rPr>
                <w:sz w:val="20"/>
                <w:szCs w:val="20"/>
                <w:color w:val="auto"/>
              </w:rPr>
            </w:pPr>
            <w:r>
              <w:rPr>
                <w:rFonts w:ascii="Times New Roman" w:cs="Times New Roman" w:eastAsia="Times New Roman" w:hAnsi="Times New Roman"/>
                <w:sz w:val="16"/>
                <w:szCs w:val="16"/>
                <w:color w:val="auto"/>
                <w:w w:val="99"/>
              </w:rPr>
              <w:t>4</w:t>
            </w:r>
          </w:p>
        </w:tc>
      </w:tr>
    </w:tbl>
    <w:p>
      <w:pPr>
        <w:spacing w:after="0" w:line="200" w:lineRule="exact"/>
        <w:rPr>
          <w:sz w:val="20"/>
          <w:szCs w:val="20"/>
          <w:color w:val="auto"/>
        </w:rPr>
      </w:pP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Audit Committee of the Board of Directors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Audit Committee was established by the Board to assist the Board in its oversight of:</w:t>
      </w:r>
    </w:p>
    <w:p>
      <w:pPr>
        <w:spacing w:after="0" w:line="232" w:lineRule="exact"/>
        <w:rPr>
          <w:sz w:val="20"/>
          <w:szCs w:val="20"/>
          <w:color w:val="auto"/>
        </w:rPr>
      </w:pPr>
    </w:p>
    <w:p>
      <w:pPr>
        <w:ind w:left="680" w:hanging="9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quality and integrity of the Company’s accounting and financial reporting processes and internal controls;</w:t>
      </w:r>
    </w:p>
    <w:p>
      <w:pPr>
        <w:spacing w:after="0" w:line="27"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financial statement audits and the integrity of the Company’s financial statements;</w:t>
      </w:r>
    </w:p>
    <w:p>
      <w:pPr>
        <w:spacing w:after="0" w:line="12" w:lineRule="exact"/>
        <w:rPr>
          <w:sz w:val="20"/>
          <w:szCs w:val="20"/>
          <w:color w:val="auto"/>
        </w:rPr>
      </w:pPr>
    </w:p>
    <w:p>
      <w:pPr>
        <w:ind w:left="580"/>
        <w:spacing w:after="0"/>
        <w:tabs>
          <w:tab w:leader="none" w:pos="7800" w:val="left"/>
        </w:tabs>
        <w:rPr>
          <w:sz w:val="20"/>
          <w:szCs w:val="20"/>
          <w:color w:val="auto"/>
        </w:rPr>
      </w:pPr>
      <w:r>
        <w:rPr>
          <w:rFonts w:ascii="Times New Roman" w:cs="Times New Roman" w:eastAsia="Times New Roman" w:hAnsi="Times New Roman"/>
          <w:sz w:val="16"/>
          <w:szCs w:val="16"/>
          <w:color w:val="auto"/>
        </w:rPr>
        <w:t>• the Company’s compliance with laws applicable to the financial statement and accounting and financial</w:t>
      </w:r>
      <w:r>
        <w:rPr>
          <w:sz w:val="20"/>
          <w:szCs w:val="20"/>
          <w:color w:val="auto"/>
        </w:rPr>
        <w:tab/>
      </w:r>
      <w:r>
        <w:rPr>
          <w:rFonts w:ascii="Times New Roman" w:cs="Times New Roman" w:eastAsia="Times New Roman" w:hAnsi="Times New Roman"/>
          <w:sz w:val="16"/>
          <w:szCs w:val="16"/>
          <w:color w:val="auto"/>
        </w:rPr>
        <w:t>reporting processes;</w:t>
      </w:r>
    </w:p>
    <w:p>
      <w:pPr>
        <w:spacing w:after="0" w:line="12" w:lineRule="exact"/>
        <w:rPr>
          <w:sz w:val="20"/>
          <w:szCs w:val="20"/>
          <w:color w:val="auto"/>
        </w:rPr>
      </w:pPr>
    </w:p>
    <w:p>
      <w:pPr>
        <w:ind w:left="680" w:hanging="94"/>
        <w:spacing w:after="0"/>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compliance with ethical standards adopted by the Company;</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systems of disclosure controls and procedures;</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and performance of the Company’s internal audit function;</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disclosures related to ESG matters; and</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enterprise-wide risk assessment, focusing on material risks.</w:t>
      </w:r>
    </w:p>
    <w:p>
      <w:pPr>
        <w:spacing w:after="0" w:line="2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Audit Committee also assists the Board in its oversight of the qualification, independence and performance of our independent registered public accounting firm and recommends to the Board the appointment of our independent registered public accounting firm and approval of audit and non-audit services provided by our independent registered public accounting firm. In addition, the Company’s Internal Audit function, together with the Audit Committee, has developed and maintains an enterprise risk management platform.</w:t>
      </w:r>
    </w:p>
    <w:p>
      <w:pPr>
        <w:spacing w:after="0" w:line="1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Audit Committee currently consists of three directors: Mses. Sears (Chair) and Frymire and Mr. van Paasschen. The Board annually reviews the Nasdaq listing standards’ definition of independence for Audit Committee members and has determined that all members of the Audit Committee are “independent” and comply with all financial literacy requirements of Nasdaq. The Board has determined that Ms. Sears qualifies as an “audit committee financial expert,” as defined in applicable SEC rules. In making that determination, the Board relied on the past business experience of Ms. Sears, as described above under the heading “—Directors and Executive Officers”.</w:t>
      </w:r>
    </w:p>
    <w:p>
      <w:pPr>
        <w:spacing w:after="0" w:line="185"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Insider Trading Policy</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We have adopted an Insider Trading Policy governing the purchase, sale, and other dispositions of our securities by directors, officers and employees that is reasonably designed to promote compliance with insider trading laws, rules and regulations.</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believe it is improper and inappropriate for any person associated with Sonder to engage in short-term or speculative transactions involving the Company’s securities. Our Insider Trading Policy prohibits directors, officers and employees of the Company from (a) engaging in short sales involving the Company’s securities, and (b) directly or indirectly, (i) trading in publicly-traded options, such as puts and calls, and other derivative securities with respect to the Company’s securities (other than stock options, restricted stock units and other compensatory awards issued to them by the Company) or (ii) purchasing financial instruments (including prepaid variable forward contracts, equity swaps, collars and exchange funds), or otherwise engaging in transactions, that hedge or offset, or are designed to hedge or offset, any decrease in the market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0" w:name="page181"/>
    <w:bookmarkEnd w:id="180"/>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value of equity securities either granted to them by the Company as part of their compensation or held, directly or indirectly, by them.</w:t>
      </w:r>
    </w:p>
    <w:p>
      <w:pPr>
        <w:spacing w:after="0" w:line="200" w:lineRule="exact"/>
        <w:rPr>
          <w:sz w:val="20"/>
          <w:szCs w:val="20"/>
          <w:color w:val="auto"/>
        </w:rPr>
      </w:pPr>
    </w:p>
    <w:p>
      <w:pPr>
        <w:spacing w:after="0" w:line="2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36"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As a company operating in a highly competitive market at the intersection of the hospitality and technology industries, Sonder views its people as key drivers of its success. Sonder’s compensation program is designed to attract, retain and motivate talented leaders, who enable us to succeed in a rapidly evolving competitive environment and achieve Sonder’s mission of revolutionizing the hospitality industry. Sonder expects its executive team to demonstrate strong leadership and management capabilities and to strengthen its culture, in order to achieve competitive advantage and speed of innovation.</w:t>
      </w:r>
    </w:p>
    <w:p>
      <w:pPr>
        <w:spacing w:after="0" w:line="185"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Sonder’s executive compensation program is oriented towards long-term retention and value creation objectives, and structured to ensure that a significant portion of an executive’s compensation opportunity is tied to performance and the delivery of stockholder value.</w:t>
      </w:r>
    </w:p>
    <w:p>
      <w:pPr>
        <w:spacing w:after="0" w:line="1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Sonder’s compensation philosophy strives to achieve the following objectives:</w:t>
      </w:r>
    </w:p>
    <w:p>
      <w:pPr>
        <w:spacing w:after="0" w:line="232" w:lineRule="exact"/>
        <w:rPr>
          <w:sz w:val="20"/>
          <w:szCs w:val="20"/>
          <w:color w:val="auto"/>
        </w:rPr>
      </w:pPr>
    </w:p>
    <w:p>
      <w:pPr>
        <w:ind w:left="742" w:hanging="154"/>
        <w:spacing w:after="0" w:line="265" w:lineRule="auto"/>
        <w:tabs>
          <w:tab w:leader="none" w:pos="69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market-competitive compensation opportunities to hire, motivate, and retain high performing executives whose experience, skills and impact are critical to our success;</w:t>
      </w:r>
    </w:p>
    <w:p>
      <w:pPr>
        <w:spacing w:after="0" w:line="1" w:lineRule="exact"/>
        <w:rPr>
          <w:rFonts w:ascii="Times New Roman" w:cs="Times New Roman" w:eastAsia="Times New Roman" w:hAnsi="Times New Roman"/>
          <w:sz w:val="16"/>
          <w:szCs w:val="16"/>
          <w:color w:val="auto"/>
        </w:rPr>
      </w:pPr>
    </w:p>
    <w:p>
      <w:pPr>
        <w:ind w:left="742" w:hanging="154"/>
        <w:spacing w:after="0" w:line="255" w:lineRule="auto"/>
        <w:tabs>
          <w:tab w:leader="none" w:pos="70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fixed cash compensation and long-term incentives that encourage appropriate levels of risk-taking by the executive team and align their interests with those of company stakeholders;</w:t>
      </w:r>
    </w:p>
    <w:p>
      <w:pPr>
        <w:ind w:left="742" w:hanging="154"/>
        <w:spacing w:after="0" w:line="255" w:lineRule="auto"/>
        <w:tabs>
          <w:tab w:leader="none" w:pos="70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Sonder’s compensation program is equitable for similarly-situated executives to drive collaboration towards achievement of its long-term business goals; and</w:t>
      </w:r>
    </w:p>
    <w:p>
      <w:pPr>
        <w:ind w:left="742" w:hanging="154"/>
        <w:spacing w:after="0" w:line="271" w:lineRule="auto"/>
        <w:tabs>
          <w:tab w:leader="none" w:pos="716"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executives other than Sonder’s CEO, Sonder’s compensation program has two basic components: base salaries and initial and periodic grants of stock options with four-year vesting.</w:t>
      </w:r>
    </w:p>
    <w:p>
      <w:pPr>
        <w:spacing w:after="0" w:line="181"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This section provides an overview of Sonder’s executive compensation programs, including a narrative description of the material factors necessary to understand the information disclosed in the summary compensation table below.</w:t>
      </w:r>
    </w:p>
    <w:p>
      <w:pPr>
        <w:spacing w:after="0" w:line="16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36"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The following table sets forth information regarding the compensation awarded to, earned by or paid to (i) each person who served as our principal executive officer at any time during 2023 and (ii) the two other most highly compensated persons serving as our executive officers at December 31, 2023 (together, “our named executive officers”), for the fiscal years ended December 31, 2023, and 2022, except in the case of Mr. Bourgault, who joined Sonder in March 2023.</w:t>
      </w:r>
    </w:p>
    <w:p>
      <w:pPr>
        <w:spacing w:after="0" w:line="200" w:lineRule="exact"/>
        <w:rPr>
          <w:sz w:val="20"/>
          <w:szCs w:val="20"/>
          <w:color w:val="auto"/>
        </w:rPr>
      </w:pPr>
    </w:p>
    <w:p>
      <w:pPr>
        <w:spacing w:after="0" w:line="246" w:lineRule="exact"/>
        <w:rPr>
          <w:sz w:val="20"/>
          <w:szCs w:val="20"/>
          <w:color w:val="auto"/>
        </w:rPr>
      </w:pPr>
    </w:p>
    <w:tbl>
      <w:tblPr>
        <w:tblLayout w:type="fixed"/>
        <w:tblInd w:w="22"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138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b w:val="1"/>
                <w:bCs w:val="1"/>
                <w:color w:val="auto"/>
                <w:vertAlign w:val="superscript"/>
              </w:rPr>
              <w:t>(2)</w:t>
            </w:r>
          </w:p>
        </w:tc>
        <w:tc>
          <w:tcPr>
            <w:tcW w:w="160" w:type="dxa"/>
            <w:vAlign w:val="bottom"/>
          </w:tcPr>
          <w:p>
            <w:pPr>
              <w:spacing w:after="0"/>
              <w:rPr>
                <w:sz w:val="17"/>
                <w:szCs w:val="17"/>
                <w:color w:val="auto"/>
              </w:rPr>
            </w:pPr>
          </w:p>
        </w:tc>
        <w:tc>
          <w:tcPr>
            <w:tcW w:w="146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4"/>
              </w:rPr>
              <w:t>Option Awards</w:t>
            </w:r>
            <w:r>
              <w:rPr>
                <w:rFonts w:ascii="Times New Roman" w:cs="Times New Roman" w:eastAsia="Times New Roman" w:hAnsi="Times New Roman"/>
                <w:sz w:val="21"/>
                <w:szCs w:val="21"/>
                <w:b w:val="1"/>
                <w:bCs w:val="1"/>
                <w:color w:val="auto"/>
                <w:w w:val="94"/>
                <w:vertAlign w:val="superscript"/>
              </w:rPr>
              <w:t>(3)(4)</w:t>
            </w:r>
          </w:p>
        </w:tc>
        <w:tc>
          <w:tcPr>
            <w:tcW w:w="260" w:type="dxa"/>
            <w:vAlign w:val="bottom"/>
          </w:tcPr>
          <w:p>
            <w:pPr>
              <w:spacing w:after="0"/>
              <w:rPr>
                <w:sz w:val="17"/>
                <w:szCs w:val="17"/>
                <w:color w:val="auto"/>
              </w:rPr>
            </w:pPr>
          </w:p>
        </w:tc>
        <w:tc>
          <w:tcPr>
            <w:tcW w:w="1580" w:type="dxa"/>
            <w:vAlign w:val="bottom"/>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21"/>
                <w:szCs w:val="21"/>
                <w:b w:val="1"/>
                <w:bCs w:val="1"/>
                <w:color w:val="auto"/>
                <w:vertAlign w:val="superscript"/>
              </w:rPr>
              <w:t>(5)</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shd w:val="clear" w:color="auto" w:fill="CCEEFF"/>
              </w:rPr>
              <w:t>Francis Davidson</w:t>
            </w: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1,199,990</w:t>
            </w:r>
          </w:p>
        </w:tc>
        <w:tc>
          <w:tcPr>
            <w:tcW w:w="2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1,559,990</w:t>
            </w: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w w:val="97"/>
                <w:shd w:val="clear" w:color="auto" w:fill="CCEEFF"/>
              </w:rPr>
              <w:t>Chief Executive</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shd w:val="clear" w:color="auto" w:fill="CCEEFF"/>
              </w:rPr>
              <w:t>Officer</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360,000</w:t>
            </w:r>
          </w:p>
        </w:tc>
        <w:tc>
          <w:tcPr>
            <w:tcW w:w="4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360,000</w:t>
            </w:r>
          </w:p>
        </w:tc>
        <w:tc>
          <w:tcPr>
            <w:tcW w:w="40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20,132,605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1,119,110</w:t>
            </w:r>
          </w:p>
        </w:tc>
        <w:tc>
          <w:tcPr>
            <w:tcW w:w="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21,611,715</w:t>
            </w:r>
          </w:p>
        </w:tc>
        <w:tc>
          <w:tcPr>
            <w:tcW w:w="0" w:type="dxa"/>
            <w:vAlign w:val="bottom"/>
          </w:tcPr>
          <w:p>
            <w:pPr>
              <w:spacing w:after="0"/>
              <w:rPr>
                <w:sz w:val="1"/>
                <w:szCs w:val="1"/>
                <w:color w:val="auto"/>
              </w:rPr>
            </w:pPr>
          </w:p>
        </w:tc>
      </w:tr>
      <w:tr>
        <w:trPr>
          <w:trHeight w:val="165"/>
        </w:trPr>
        <w:tc>
          <w:tcPr>
            <w:tcW w:w="248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Dominique Bourgault</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r>
              <w:rPr>
                <w:rFonts w:ascii="Times New Roman" w:cs="Times New Roman" w:eastAsia="Times New Roman" w:hAnsi="Times New Roman"/>
                <w:sz w:val="21"/>
                <w:szCs w:val="21"/>
                <w:i w:val="1"/>
                <w:iCs w:val="1"/>
                <w:color w:val="auto"/>
                <w:vertAlign w:val="superscript"/>
              </w:rPr>
              <w:t>(6)</w:t>
            </w:r>
          </w:p>
        </w:tc>
        <w:tc>
          <w:tcPr>
            <w:tcW w:w="1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390,288</w:t>
            </w:r>
          </w:p>
        </w:tc>
        <w:tc>
          <w:tcPr>
            <w:tcW w:w="4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1,340,690</w:t>
            </w: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1,730,978</w:t>
            </w:r>
          </w:p>
        </w:tc>
        <w:tc>
          <w:tcPr>
            <w:tcW w:w="0" w:type="dxa"/>
            <w:vAlign w:val="bottom"/>
          </w:tcPr>
          <w:p>
            <w:pPr>
              <w:spacing w:after="0"/>
              <w:rPr>
                <w:sz w:val="1"/>
                <w:szCs w:val="1"/>
                <w:color w:val="auto"/>
              </w:rPr>
            </w:pPr>
          </w:p>
        </w:tc>
      </w:tr>
      <w:tr>
        <w:trPr>
          <w:trHeight w:val="202"/>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Martin Picard</w:t>
            </w:r>
          </w:p>
        </w:tc>
        <w:tc>
          <w:tcPr>
            <w:tcW w:w="10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355,635</w:t>
            </w:r>
          </w:p>
        </w:tc>
        <w:tc>
          <w:tcPr>
            <w:tcW w:w="40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504,990</w:t>
            </w:r>
          </w:p>
        </w:tc>
        <w:tc>
          <w:tcPr>
            <w:tcW w:w="26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36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861,425</w:t>
            </w:r>
          </w:p>
        </w:tc>
        <w:tc>
          <w:tcPr>
            <w:tcW w:w="0" w:type="dxa"/>
            <w:vAlign w:val="bottom"/>
          </w:tcPr>
          <w:p>
            <w:pPr>
              <w:spacing w:after="0"/>
              <w:rPr>
                <w:sz w:val="1"/>
                <w:szCs w:val="1"/>
                <w:color w:val="auto"/>
              </w:rPr>
            </w:pPr>
          </w:p>
        </w:tc>
      </w:tr>
      <w:tr>
        <w:trPr>
          <w:trHeight w:val="213"/>
        </w:trPr>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Real Estate Officer</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359,534</w:t>
            </w:r>
          </w:p>
        </w:tc>
        <w:tc>
          <w:tcPr>
            <w:tcW w:w="4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2,109,992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1,152,688</w:t>
            </w:r>
          </w:p>
        </w:tc>
        <w:tc>
          <w:tcPr>
            <w:tcW w:w="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3,622,214</w:t>
            </w:r>
          </w:p>
        </w:tc>
        <w:tc>
          <w:tcPr>
            <w:tcW w:w="0" w:type="dxa"/>
            <w:vAlign w:val="bottom"/>
          </w:tcPr>
          <w:p>
            <w:pPr>
              <w:spacing w:after="0"/>
              <w:rPr>
                <w:sz w:val="1"/>
                <w:szCs w:val="1"/>
                <w:color w:val="auto"/>
              </w:rPr>
            </w:pPr>
          </w:p>
        </w:tc>
      </w:tr>
      <w:tr>
        <w:trPr>
          <w:trHeight w:val="25"/>
        </w:trPr>
        <w:tc>
          <w:tcPr>
            <w:tcW w:w="1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both"/>
        <w:ind w:left="222" w:hanging="222"/>
        <w:spacing w:after="0" w:line="253" w:lineRule="auto"/>
        <w:tabs>
          <w:tab w:leader="none" w:pos="203"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for Mr. Picard for fiscal year 2023 were converted into USD using the Bank of Canada annual CAD to USD 2023 exchange rate of US$1.00 = CAD 1.3497 or CAD 1.00 = US$0.7409. The amounts in this column for Mr. Picard for fiscal year 2022 were converted into USD using the Bank of Canada annual CAD to USD 2022 exchange rate of US$1.00 = CAD 1.3013 or CAD 1.00 = US$0.7685.</w:t>
      </w:r>
    </w:p>
    <w:p>
      <w:pPr>
        <w:spacing w:after="0" w:line="1" w:lineRule="exact"/>
        <w:rPr>
          <w:rFonts w:ascii="Times New Roman" w:cs="Times New Roman" w:eastAsia="Times New Roman" w:hAnsi="Times New Roman"/>
          <w:sz w:val="13"/>
          <w:szCs w:val="13"/>
          <w:color w:val="auto"/>
        </w:rPr>
      </w:pPr>
    </w:p>
    <w:p>
      <w:pPr>
        <w:ind w:left="222" w:hanging="222"/>
        <w:spacing w:after="0" w:line="271" w:lineRule="auto"/>
        <w:tabs>
          <w:tab w:leader="none" w:pos="20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represent the aggregate grant-date fair value of performance stock awards granted to Messrs. Davidson and Picard in 2022 under the 2021 Management Equity Incentive Plan, computed in accordance with FASB ASC Topic 718. For Mr. Davidson, the amounts in this</w:t>
      </w:r>
    </w:p>
    <w:p>
      <w:pPr>
        <w:spacing w:after="0" w:line="200" w:lineRule="exact"/>
        <w:rPr>
          <w:sz w:val="20"/>
          <w:szCs w:val="20"/>
          <w:color w:val="auto"/>
        </w:rPr>
      </w:pPr>
    </w:p>
    <w:p>
      <w:pPr>
        <w:spacing w:after="0" w:line="31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81" w:name="page182"/>
    <w:bookmarkEnd w:id="181"/>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left="222"/>
        <w:spacing w:after="0" w:line="256" w:lineRule="auto"/>
        <w:rPr>
          <w:sz w:val="20"/>
          <w:szCs w:val="20"/>
          <w:color w:val="auto"/>
        </w:rPr>
      </w:pPr>
      <w:r>
        <w:rPr>
          <w:rFonts w:ascii="Times New Roman" w:cs="Times New Roman" w:eastAsia="Times New Roman" w:hAnsi="Times New Roman"/>
          <w:sz w:val="13"/>
          <w:szCs w:val="13"/>
          <w:color w:val="auto"/>
        </w:rPr>
        <w:t>column also represent $509,609 in incremental fair value attributable to the modification of Mr. Davidson’s equity awards in December 2022. For more information relating to the modification of Mr. Davidson’s equity awards, see the section entitled “Repricing or Material Modification of Outstanding Equity Awards - Modification to CEO Performance Restricted Stock Award” in Sonder’s Annual Report on Form 10-K/A for the fiscal year ended December 31, 2022 filed with the SEC on March 22, 2024 (the “2022 Annual Report”).</w:t>
      </w:r>
    </w:p>
    <w:p>
      <w:pPr>
        <w:spacing w:after="0" w:line="1" w:lineRule="exact"/>
        <w:rPr>
          <w:sz w:val="20"/>
          <w:szCs w:val="20"/>
          <w:color w:val="auto"/>
        </w:rPr>
      </w:pPr>
    </w:p>
    <w:p>
      <w:pPr>
        <w:jc w:val="both"/>
        <w:ind w:left="222" w:hanging="222"/>
        <w:spacing w:after="0" w:line="251" w:lineRule="auto"/>
        <w:tabs>
          <w:tab w:leader="none" w:pos="18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amounts in this column represent the aggregate grant-date fair value of awards granted to each named executive officer in 2023, 2022 and 2021 (where applicable), computed in accordance with FASB ASC Topic 718. See Note 11, </w:t>
      </w:r>
      <w:r>
        <w:rPr>
          <w:rFonts w:ascii="Times New Roman" w:cs="Times New Roman" w:eastAsia="Times New Roman" w:hAnsi="Times New Roman"/>
          <w:sz w:val="13"/>
          <w:szCs w:val="13"/>
          <w:i w:val="1"/>
          <w:iCs w:val="1"/>
          <w:color w:val="auto"/>
        </w:rPr>
        <w:t>Equity Incentive Plans and Stock-Based Compensation,</w:t>
      </w:r>
      <w:r>
        <w:rPr>
          <w:rFonts w:ascii="Times New Roman" w:cs="Times New Roman" w:eastAsia="Times New Roman" w:hAnsi="Times New Roman"/>
          <w:sz w:val="13"/>
          <w:szCs w:val="13"/>
          <w:color w:val="auto"/>
        </w:rPr>
        <w:t xml:space="preserve"> to the consolidated financial statements included within Part II, Item 8 of this Annual Report on Form 10-K for additional information regarding the assumptions made by Sonder in determining the grant-date fair value of Sonder’s equity awards. For fiscal year 2022, the amounts in this column also represent the incremental fair value, computed as of the repricing date in accordance with FASB ASC Topic 718, with respect to the one-time repricing of eligible stock option awards pursuant to the Company’s tender offer on Schedule TO, which closed in December 2022. The incremental fair value, computed as of the repricing date in accordance with FASB ASC Topic 718, for the repriced options held by Messrs. Davidson and Picard, totaled $157,621 and $376,765, respectively. For more information relating to the one-time repricing of eligible stock option awards, see the section entitled “Repricing or Material Modification of Outstanding Equity Awards - Repricing of Eligible Outstanding Option Awards” in the 2022 Annual Report.</w:t>
      </w:r>
    </w:p>
    <w:p>
      <w:pPr>
        <w:spacing w:after="0" w:line="2" w:lineRule="exact"/>
        <w:rPr>
          <w:rFonts w:ascii="Times New Roman" w:cs="Times New Roman" w:eastAsia="Times New Roman" w:hAnsi="Times New Roman"/>
          <w:sz w:val="13"/>
          <w:szCs w:val="13"/>
          <w:color w:val="auto"/>
        </w:rPr>
      </w:pPr>
    </w:p>
    <w:p>
      <w:pPr>
        <w:jc w:val="both"/>
        <w:ind w:left="222" w:hanging="222"/>
        <w:spacing w:after="0" w:line="251" w:lineRule="auto"/>
        <w:tabs>
          <w:tab w:leader="none" w:pos="19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 this column for Mr. Davidson in fiscal year 2022 also reflects $961,489 in incremental fair value attributable to the modification of Mr. Davidson’s equity awards in December 2022. For more information relating to the modification of Mr. Davidson’s equity awards, see the section entitled “Repricing or Material Modification of Outstanding Equity Awards - Modification to CEO Performance Stock Option Award” in the 2022 Annual Report.</w:t>
      </w:r>
    </w:p>
    <w:p>
      <w:pPr>
        <w:spacing w:after="0" w:line="1"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amount paid to Mr. Picard for cell phone reimbursement.</w:t>
      </w:r>
    </w:p>
    <w:p>
      <w:pPr>
        <w:spacing w:after="0" w:line="4" w:lineRule="exact"/>
        <w:rPr>
          <w:rFonts w:ascii="Times New Roman" w:cs="Times New Roman" w:eastAsia="Times New Roman" w:hAnsi="Times New Roman"/>
          <w:sz w:val="13"/>
          <w:szCs w:val="13"/>
          <w:color w:val="auto"/>
        </w:rPr>
      </w:pPr>
    </w:p>
    <w:p>
      <w:pPr>
        <w:ind w:left="222" w:hanging="222"/>
        <w:spacing w:after="0" w:line="271" w:lineRule="auto"/>
        <w:tabs>
          <w:tab w:leader="none" w:pos="192"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Bourgault joined the Company as Chief Financial Officer effective March 6, 2023. The amount shown in the salary column for 2023 represents a partial year’s salary based on his March 6, 2023 start date. Mr. Bourgault’s annual salary is $495,000.</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236"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The following table sets forth information regarding outstanding equity awards held by our named executive officers as of December 31, 2023, after the application of adjustments to reflect the impact of the Business Combination (for awards granted prior to January 18, 2022) and further adjustments to reflect the impact of the Reverse Stock Split (for awards granted prior to September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82" w:name="page183"/>
    <w:bookmarkEnd w:id="182"/>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tbl>
      <w:tblPr>
        <w:tblLayout w:type="fixed"/>
        <w:tblInd w:w="2"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Option Awards(1)(2)</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740" w:type="dxa"/>
            <w:vAlign w:val="bottom"/>
          </w:tcPr>
          <w:p>
            <w:pPr>
              <w:spacing w:after="0"/>
              <w:rPr>
                <w:sz w:val="14"/>
                <w:szCs w:val="14"/>
                <w:color w:val="auto"/>
              </w:rPr>
            </w:pPr>
          </w:p>
        </w:tc>
      </w:tr>
      <w:tr>
        <w:trPr>
          <w:trHeight w:val="26"/>
        </w:trPr>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46"/>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1740" w:type="dxa"/>
            <w:vAlign w:val="bottom"/>
          </w:tcPr>
          <w:p>
            <w:pPr>
              <w:spacing w:after="0"/>
              <w:rPr>
                <w:sz w:val="12"/>
                <w:szCs w:val="12"/>
                <w:color w:val="auto"/>
              </w:rPr>
            </w:pPr>
          </w:p>
        </w:tc>
      </w:tr>
      <w:tr>
        <w:trPr>
          <w:trHeight w:val="135"/>
        </w:trPr>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Plan Awards:</w:t>
            </w:r>
          </w:p>
        </w:tc>
        <w:tc>
          <w:tcPr>
            <w:tcW w:w="1740" w:type="dxa"/>
            <w:vAlign w:val="bottom"/>
          </w:tcPr>
          <w:p>
            <w:pPr>
              <w:spacing w:after="0"/>
              <w:rPr>
                <w:sz w:val="11"/>
                <w:szCs w:val="11"/>
                <w:color w:val="auto"/>
              </w:rPr>
            </w:pPr>
          </w:p>
        </w:tc>
      </w:tr>
      <w:tr>
        <w:trPr>
          <w:trHeight w:val="147"/>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740" w:type="dxa"/>
            <w:vAlign w:val="bottom"/>
          </w:tcPr>
          <w:p>
            <w:pPr>
              <w:spacing w:after="0"/>
              <w:rPr>
                <w:sz w:val="12"/>
                <w:szCs w:val="12"/>
                <w:color w:val="auto"/>
              </w:rPr>
            </w:pPr>
          </w:p>
        </w:tc>
      </w:tr>
      <w:tr>
        <w:trPr>
          <w:trHeight w:val="147"/>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Market Value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Unearned Shares,</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 Plan Awards:</w:t>
            </w:r>
          </w:p>
        </w:tc>
      </w:tr>
      <w:tr>
        <w:trPr>
          <w:trHeight w:val="135"/>
        </w:trPr>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 Units of Stock</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Shares or Units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Units or Other</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Market or Payout Value of</w:t>
            </w:r>
          </w:p>
        </w:tc>
      </w:tr>
      <w:tr>
        <w:trPr>
          <w:trHeight w:val="147"/>
        </w:trPr>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Option Exercise</w:t>
            </w:r>
          </w:p>
        </w:tc>
        <w:tc>
          <w:tcPr>
            <w:tcW w:w="3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 Expiration</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That Have Not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Stock That Have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Rights That Have</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Unearned Shares, Units or Other</w:t>
            </w:r>
          </w:p>
        </w:tc>
      </w:tr>
      <w:tr>
        <w:trPr>
          <w:trHeight w:val="189"/>
        </w:trPr>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0" w:type="dxa"/>
            <w:vAlign w:val="bottom"/>
            <w:tcBorders>
              <w:bottom w:val="single" w:sz="8" w:color="BFE4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Exercisable (#)</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Unexercisable (#)</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1"/>
                <w:szCs w:val="11"/>
                <w:b w:val="1"/>
                <w:bCs w:val="1"/>
                <w:color w:val="auto"/>
              </w:rPr>
              <w:t>Price ($)</w:t>
            </w:r>
          </w:p>
        </w:tc>
        <w:tc>
          <w:tcPr>
            <w:tcW w:w="340" w:type="dxa"/>
            <w:vAlign w:val="bottom"/>
            <w:tcBorders>
              <w:bottom w:val="single" w:sz="8" w:color="BFE4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0" w:type="dxa"/>
            <w:vAlign w:val="bottom"/>
            <w:tcBorders>
              <w:bottom w:val="single" w:sz="8" w:color="BFE4FF"/>
              <w:right w:val="single" w:sz="8" w:color="auto"/>
            </w:tcBorders>
          </w:tcPr>
          <w:p>
            <w:pPr>
              <w:spacing w:after="0"/>
              <w:rPr>
                <w:sz w:val="16"/>
                <w:szCs w:val="16"/>
                <w:color w:val="auto"/>
              </w:rPr>
            </w:pPr>
          </w:p>
        </w:tc>
        <w:tc>
          <w:tcPr>
            <w:tcW w:w="60" w:type="dxa"/>
            <w:vAlign w:val="bottom"/>
            <w:tcBorders>
              <w:bottom w:val="single" w:sz="8" w:color="BFE4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Vested (#)</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BFE4FF"/>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Not Vested ($)</w:t>
            </w:r>
            <w:r>
              <w:rPr>
                <w:rFonts w:ascii="Times New Roman" w:cs="Times New Roman" w:eastAsia="Times New Roman" w:hAnsi="Times New Roman"/>
                <w:sz w:val="14"/>
                <w:szCs w:val="14"/>
                <w:b w:val="1"/>
                <w:bCs w:val="1"/>
                <w:color w:val="auto"/>
                <w:vertAlign w:val="superscript"/>
              </w:rPr>
              <w:t>(3)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BFE4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Not Vested</w:t>
            </w:r>
            <w:r>
              <w:rPr>
                <w:rFonts w:ascii="Times New Roman" w:cs="Times New Roman" w:eastAsia="Times New Roman" w:hAnsi="Times New Roman"/>
                <w:sz w:val="14"/>
                <w:szCs w:val="14"/>
                <w:b w:val="1"/>
                <w:bCs w:val="1"/>
                <w:color w:val="auto"/>
                <w:w w:val="95"/>
                <w:vertAlign w:val="superscript"/>
              </w:rPr>
              <w:t>(4)</w:t>
            </w:r>
          </w:p>
        </w:tc>
        <w:tc>
          <w:tcPr>
            <w:tcW w:w="80" w:type="dxa"/>
            <w:vAlign w:val="bottom"/>
            <w:tcBorders>
              <w:bottom w:val="single" w:sz="8" w:color="BFE4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Rights That Have Not Vested ($)</w:t>
            </w:r>
            <w:r>
              <w:rPr>
                <w:rFonts w:ascii="Times New Roman" w:cs="Times New Roman" w:eastAsia="Times New Roman" w:hAnsi="Times New Roman"/>
                <w:sz w:val="14"/>
                <w:szCs w:val="14"/>
                <w:b w:val="1"/>
                <w:bCs w:val="1"/>
                <w:color w:val="auto"/>
                <w:vertAlign w:val="superscript"/>
              </w:rPr>
              <w:t>(3)</w:t>
            </w:r>
          </w:p>
        </w:tc>
      </w:tr>
      <w:tr>
        <w:trPr>
          <w:trHeight w:val="225"/>
        </w:trPr>
        <w:tc>
          <w:tcPr>
            <w:tcW w:w="1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5"/>
                <w:szCs w:val="15"/>
                <w:color w:val="auto"/>
              </w:rPr>
              <w:t>Francis Davidson</w:t>
            </w:r>
          </w:p>
        </w:tc>
        <w:tc>
          <w:tcPr>
            <w:tcW w:w="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236,431</w:t>
            </w:r>
          </w:p>
        </w:tc>
        <w:tc>
          <w:tcPr>
            <w:tcW w:w="500" w:type="dxa"/>
            <w:vAlign w:val="bottom"/>
            <w:gridSpan w:val="3"/>
            <w:shd w:val="clear" w:color="auto" w:fill="BFE4FF"/>
          </w:tcPr>
          <w:p>
            <w:pPr>
              <w:ind w:left="40"/>
              <w:spacing w:after="0" w:line="225" w:lineRule="exact"/>
              <w:rPr>
                <w:sz w:val="20"/>
                <w:szCs w:val="20"/>
                <w:color w:val="auto"/>
              </w:rPr>
            </w:pPr>
            <w:r>
              <w:rPr>
                <w:rFonts w:ascii="Times New Roman" w:cs="Times New Roman" w:eastAsia="Times New Roman" w:hAnsi="Times New Roman"/>
                <w:sz w:val="9"/>
                <w:szCs w:val="9"/>
                <w:color w:val="auto"/>
              </w:rPr>
              <w:t xml:space="preserve">(5)(6)    </w:t>
            </w:r>
            <w:r>
              <w:rPr>
                <w:rFonts w:ascii="Times New Roman" w:cs="Times New Roman" w:eastAsia="Times New Roman" w:hAnsi="Times New Roman"/>
                <w:sz w:val="26"/>
                <w:szCs w:val="26"/>
                <w:color w:val="auto"/>
                <w:vertAlign w:val="subscript"/>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2/19/2031</w:t>
            </w:r>
          </w:p>
        </w:tc>
        <w:tc>
          <w:tcPr>
            <w:tcW w:w="100" w:type="dxa"/>
            <w:vAlign w:val="bottom"/>
            <w:tcBorders>
              <w:right w:val="single" w:sz="8" w:color="auto"/>
            </w:tcBorders>
            <w:shd w:val="clear" w:color="auto" w:fill="BFE4FF"/>
          </w:tcPr>
          <w:p>
            <w:pPr>
              <w:spacing w:after="0"/>
              <w:rPr>
                <w:sz w:val="19"/>
                <w:szCs w:val="19"/>
                <w:color w:val="auto"/>
              </w:rPr>
            </w:pPr>
          </w:p>
        </w:tc>
        <w:tc>
          <w:tcPr>
            <w:tcW w:w="104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74,942</w:t>
            </w:r>
          </w:p>
        </w:tc>
        <w:tc>
          <w:tcPr>
            <w:tcW w:w="240" w:type="dxa"/>
            <w:vAlign w:val="bottom"/>
            <w:gridSpan w:val="2"/>
            <w:shd w:val="clear" w:color="auto" w:fill="BFE4FF"/>
          </w:tcPr>
          <w:p>
            <w:pPr>
              <w:jc w:val="right"/>
              <w:ind w:right="100"/>
              <w:spacing w:after="0"/>
              <w:rPr>
                <w:sz w:val="20"/>
                <w:szCs w:val="20"/>
                <w:color w:val="auto"/>
              </w:rPr>
            </w:pPr>
            <w:r>
              <w:rPr>
                <w:rFonts w:ascii="Times New Roman" w:cs="Times New Roman" w:eastAsia="Times New Roman" w:hAnsi="Times New Roman"/>
                <w:sz w:val="10"/>
                <w:szCs w:val="10"/>
                <w:color w:val="auto"/>
              </w:rPr>
              <w:t>(8)</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$200,095</w:t>
            </w:r>
          </w:p>
        </w:tc>
        <w:tc>
          <w:tcPr>
            <w:tcW w:w="20" w:type="dxa"/>
            <w:vAlign w:val="bottom"/>
            <w:shd w:val="clear" w:color="auto" w:fill="BFE4FF"/>
          </w:tcPr>
          <w:p>
            <w:pPr>
              <w:spacing w:after="0"/>
              <w:rPr>
                <w:sz w:val="19"/>
                <w:szCs w:val="19"/>
                <w:color w:val="auto"/>
              </w:rPr>
            </w:pPr>
          </w:p>
        </w:tc>
        <w:tc>
          <w:tcPr>
            <w:tcW w:w="8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13"/>
        </w:trPr>
        <w:tc>
          <w:tcPr>
            <w:tcW w:w="1120" w:type="dxa"/>
            <w:vAlign w:val="bottom"/>
            <w:tcBorders>
              <w:bottom w:val="single" w:sz="8" w:color="BFE4FF"/>
            </w:tcBorders>
            <w:shd w:val="clear" w:color="auto" w:fill="BFE4FF"/>
          </w:tcPr>
          <w:p>
            <w:pPr>
              <w:spacing w:after="0"/>
              <w:rPr>
                <w:sz w:val="18"/>
                <w:szCs w:val="18"/>
                <w:color w:val="auto"/>
              </w:rPr>
            </w:pPr>
          </w:p>
        </w:tc>
        <w:tc>
          <w:tcPr>
            <w:tcW w:w="1040" w:type="dxa"/>
            <w:vAlign w:val="bottom"/>
            <w:tcBorders>
              <w:bottom w:val="single" w:sz="8" w:color="BFE4FF"/>
            </w:tcBorders>
            <w:gridSpan w:val="2"/>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23,399</w:t>
            </w:r>
          </w:p>
        </w:tc>
        <w:tc>
          <w:tcPr>
            <w:tcW w:w="1080" w:type="dxa"/>
            <w:vAlign w:val="bottom"/>
            <w:tcBorders>
              <w:bottom w:val="single" w:sz="8" w:color="BFE4FF"/>
            </w:tcBorders>
            <w:gridSpan w:val="3"/>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101,600</w:t>
            </w:r>
          </w:p>
        </w:tc>
        <w:tc>
          <w:tcPr>
            <w:tcW w:w="4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Borders>
              <w:bottom w:val="single" w:sz="8" w:color="BFE4FF"/>
            </w:tcBorders>
            <w:shd w:val="clear" w:color="auto" w:fill="BFE4FF"/>
          </w:tcPr>
          <w:p>
            <w:pPr>
              <w:spacing w:after="0"/>
              <w:rPr>
                <w:sz w:val="18"/>
                <w:szCs w:val="18"/>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3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10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3/16/2033</w:t>
            </w:r>
          </w:p>
        </w:tc>
        <w:tc>
          <w:tcPr>
            <w:tcW w:w="100" w:type="dxa"/>
            <w:vAlign w:val="bottom"/>
            <w:tcBorders>
              <w:bottom w:val="single" w:sz="8" w:color="BFE4FF"/>
              <w:right w:val="single" w:sz="8" w:color="auto"/>
            </w:tcBorders>
            <w:shd w:val="clear" w:color="auto" w:fill="BFE4FF"/>
          </w:tcPr>
          <w:p>
            <w:pPr>
              <w:spacing w:after="0"/>
              <w:rPr>
                <w:sz w:val="18"/>
                <w:szCs w:val="18"/>
                <w:color w:val="auto"/>
              </w:rPr>
            </w:pPr>
          </w:p>
        </w:tc>
        <w:tc>
          <w:tcPr>
            <w:tcW w:w="60" w:type="dxa"/>
            <w:vAlign w:val="bottom"/>
            <w:tcBorders>
              <w:bottom w:val="single" w:sz="8" w:color="BFE4FF"/>
            </w:tcBorders>
            <w:shd w:val="clear" w:color="auto" w:fill="BFE4FF"/>
          </w:tcPr>
          <w:p>
            <w:pPr>
              <w:spacing w:after="0"/>
              <w:rPr>
                <w:sz w:val="18"/>
                <w:szCs w:val="18"/>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BFE4FF"/>
            </w:tcBorders>
            <w:shd w:val="clear" w:color="auto" w:fill="BFE4FF"/>
          </w:tcPr>
          <w:p>
            <w:pPr>
              <w:spacing w:after="0"/>
              <w:rPr>
                <w:sz w:val="18"/>
                <w:szCs w:val="18"/>
                <w:color w:val="auto"/>
              </w:rPr>
            </w:pPr>
          </w:p>
        </w:tc>
        <w:tc>
          <w:tcPr>
            <w:tcW w:w="220" w:type="dxa"/>
            <w:vAlign w:val="bottom"/>
            <w:tcBorders>
              <w:bottom w:val="single" w:sz="8" w:color="BFE4FF"/>
            </w:tcBorders>
            <w:shd w:val="clear" w:color="auto" w:fill="BFE4FF"/>
          </w:tcPr>
          <w:p>
            <w:pPr>
              <w:spacing w:after="0"/>
              <w:rPr>
                <w:sz w:val="18"/>
                <w:szCs w:val="18"/>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BFE4FF"/>
            </w:tcBorders>
            <w:gridSpan w:val="3"/>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464,999</w:t>
            </w:r>
          </w:p>
        </w:tc>
        <w:tc>
          <w:tcPr>
            <w:tcW w:w="80" w:type="dxa"/>
            <w:vAlign w:val="bottom"/>
            <w:tcBorders>
              <w:bottom w:val="single" w:sz="8" w:color="BFE4FF"/>
            </w:tcBorders>
            <w:shd w:val="clear" w:color="auto" w:fill="BFE4FF"/>
          </w:tcPr>
          <w:p>
            <w:pPr>
              <w:spacing w:after="0"/>
              <w:rPr>
                <w:sz w:val="18"/>
                <w:szCs w:val="18"/>
                <w:color w:val="auto"/>
              </w:rPr>
            </w:pPr>
          </w:p>
        </w:tc>
        <w:tc>
          <w:tcPr>
            <w:tcW w:w="17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$1,241,547</w:t>
            </w:r>
          </w:p>
        </w:tc>
      </w:tr>
      <w:tr>
        <w:trPr>
          <w:trHeight w:val="196"/>
        </w:trPr>
        <w:tc>
          <w:tcPr>
            <w:tcW w:w="1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Dominique</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10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1"/>
        </w:trPr>
        <w:tc>
          <w:tcPr>
            <w:tcW w:w="1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Bourgault</w:t>
            </w: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137,051</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3/16/2033</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5,860</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9/12/2033</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03"/>
        </w:trPr>
        <w:tc>
          <w:tcPr>
            <w:tcW w:w="1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5"/>
                <w:szCs w:val="15"/>
                <w:color w:val="auto"/>
              </w:rPr>
              <w:t>Martin Picard</w:t>
            </w:r>
          </w:p>
        </w:tc>
        <w:tc>
          <w:tcPr>
            <w:tcW w:w="104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1,287</w:t>
            </w:r>
          </w:p>
        </w:tc>
        <w:tc>
          <w:tcPr>
            <w:tcW w:w="20" w:type="dxa"/>
            <w:vAlign w:val="bottom"/>
            <w:shd w:val="clear" w:color="auto" w:fill="BFE4FF"/>
          </w:tcPr>
          <w:p>
            <w:pPr>
              <w:spacing w:after="0"/>
              <w:rPr>
                <w:sz w:val="17"/>
                <w:szCs w:val="17"/>
                <w:color w:val="auto"/>
              </w:rPr>
            </w:pPr>
          </w:p>
        </w:tc>
        <w:tc>
          <w:tcPr>
            <w:tcW w:w="80" w:type="dxa"/>
            <w:vAlign w:val="bottom"/>
            <w:shd w:val="clear" w:color="auto" w:fill="BFE4FF"/>
          </w:tcPr>
          <w:p>
            <w:pPr>
              <w:spacing w:after="0"/>
              <w:rPr>
                <w:sz w:val="17"/>
                <w:szCs w:val="17"/>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shd w:val="clear" w:color="auto" w:fill="BFE4FF"/>
          </w:tcPr>
          <w:p>
            <w:pPr>
              <w:spacing w:after="0"/>
              <w:rPr>
                <w:sz w:val="17"/>
                <w:szCs w:val="17"/>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7"/>
              </w:rPr>
              <w:t>8/3/2027</w:t>
            </w:r>
          </w:p>
        </w:tc>
        <w:tc>
          <w:tcPr>
            <w:tcW w:w="100" w:type="dxa"/>
            <w:vAlign w:val="bottom"/>
            <w:tcBorders>
              <w:right w:val="single" w:sz="8" w:color="auto"/>
            </w:tcBorders>
            <w:shd w:val="clear" w:color="auto" w:fill="BFE4FF"/>
          </w:tcPr>
          <w:p>
            <w:pPr>
              <w:spacing w:after="0"/>
              <w:rPr>
                <w:sz w:val="17"/>
                <w:szCs w:val="17"/>
                <w:color w:val="auto"/>
              </w:rPr>
            </w:pPr>
          </w:p>
        </w:tc>
        <w:tc>
          <w:tcPr>
            <w:tcW w:w="60" w:type="dxa"/>
            <w:vAlign w:val="bottom"/>
            <w:shd w:val="clear" w:color="auto" w:fill="BFE4FF"/>
          </w:tcPr>
          <w:p>
            <w:pPr>
              <w:spacing w:after="0"/>
              <w:rPr>
                <w:sz w:val="17"/>
                <w:szCs w:val="17"/>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17"/>
                <w:szCs w:val="17"/>
                <w:color w:val="auto"/>
              </w:rPr>
            </w:pPr>
          </w:p>
        </w:tc>
        <w:tc>
          <w:tcPr>
            <w:tcW w:w="220" w:type="dxa"/>
            <w:vAlign w:val="bottom"/>
            <w:shd w:val="clear" w:color="auto" w:fill="BFE4FF"/>
          </w:tcPr>
          <w:p>
            <w:pPr>
              <w:spacing w:after="0"/>
              <w:rPr>
                <w:sz w:val="17"/>
                <w:szCs w:val="17"/>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999,996</w:t>
            </w:r>
          </w:p>
        </w:tc>
        <w:tc>
          <w:tcPr>
            <w:tcW w:w="80" w:type="dxa"/>
            <w:vAlign w:val="bottom"/>
            <w:shd w:val="clear" w:color="auto" w:fill="BFE4FF"/>
          </w:tcPr>
          <w:p>
            <w:pPr>
              <w:spacing w:after="0"/>
              <w:rPr>
                <w:sz w:val="17"/>
                <w:szCs w:val="17"/>
                <w:color w:val="auto"/>
              </w:rPr>
            </w:pPr>
          </w:p>
        </w:tc>
        <w:tc>
          <w:tcPr>
            <w:tcW w:w="1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$1,239,995</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13.40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11/9/2027</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8,254</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1/28/2029</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12,162</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1/28/2029</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1/28/2029</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shd w:val="clear" w:color="auto" w:fill="BFE4FF"/>
          </w:tcPr>
          <w:p>
            <w:pPr>
              <w:ind w:left="40"/>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27.80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1/28/2029</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57.00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(14)</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6"/>
              </w:rPr>
              <w:t>11/15/2029</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8,510</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369</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(5)(21)</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7"/>
              </w:rPr>
              <w:t>2/7/2030</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(5)(22)</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7"/>
              </w:rPr>
              <w:t>2/7/2030</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(5)(23)</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8/18/2030</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(5)(24)</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11/5/2030</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8,606</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3,563</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(5)(25)</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2/19/2031</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(5)(26)</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6"/>
              </w:rPr>
              <w:t>11/11/2031</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17,499</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34,978</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(5)(27)</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(7)</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8/16/2032</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9,360</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40,639</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(28)</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3/16/2033</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33"/>
        </w:trPr>
        <w:tc>
          <w:tcPr>
            <w:tcW w:w="1120" w:type="dxa"/>
            <w:vAlign w:val="bottom"/>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5,860</w:t>
            </w:r>
          </w:p>
        </w:tc>
        <w:tc>
          <w:tcPr>
            <w:tcW w:w="20" w:type="dxa"/>
            <w:vAlign w:val="bottom"/>
            <w:shd w:val="clear" w:color="auto" w:fill="BFE4FF"/>
          </w:tcPr>
          <w:p>
            <w:pPr>
              <w:spacing w:after="0"/>
              <w:rPr>
                <w:sz w:val="20"/>
                <w:szCs w:val="20"/>
                <w:color w:val="auto"/>
              </w:rPr>
            </w:pPr>
          </w:p>
        </w:tc>
        <w:tc>
          <w:tcPr>
            <w:tcW w:w="3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shd w:val="clear" w:color="auto" w:fill="BFE4FF"/>
          </w:tcPr>
          <w:p>
            <w:pPr>
              <w:spacing w:after="0"/>
              <w:rPr>
                <w:sz w:val="20"/>
                <w:szCs w:val="20"/>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3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0"/>
                <w:szCs w:val="10"/>
                <w:color w:val="auto"/>
              </w:rPr>
              <w:t>(10)</w:t>
            </w:r>
          </w:p>
        </w:tc>
        <w:tc>
          <w:tcPr>
            <w:tcW w:w="10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5"/>
                <w:szCs w:val="15"/>
                <w:color w:val="auto"/>
                <w:w w:val="98"/>
              </w:rPr>
              <w:t>9/12/2033</w:t>
            </w:r>
          </w:p>
        </w:tc>
        <w:tc>
          <w:tcPr>
            <w:tcW w:w="100" w:type="dxa"/>
            <w:vAlign w:val="bottom"/>
            <w:tcBorders>
              <w:right w:val="single" w:sz="8" w:color="auto"/>
            </w:tcBorders>
            <w:shd w:val="clear" w:color="auto" w:fill="BFE4FF"/>
          </w:tcPr>
          <w:p>
            <w:pPr>
              <w:spacing w:after="0"/>
              <w:rPr>
                <w:sz w:val="20"/>
                <w:szCs w:val="20"/>
                <w:color w:val="auto"/>
              </w:rPr>
            </w:pPr>
          </w:p>
        </w:tc>
        <w:tc>
          <w:tcPr>
            <w:tcW w:w="6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BFE4FF"/>
          </w:tcPr>
          <w:p>
            <w:pPr>
              <w:spacing w:after="0"/>
              <w:rPr>
                <w:sz w:val="20"/>
                <w:szCs w:val="20"/>
                <w:color w:val="auto"/>
              </w:rPr>
            </w:pPr>
          </w:p>
        </w:tc>
        <w:tc>
          <w:tcPr>
            <w:tcW w:w="80" w:type="dxa"/>
            <w:vAlign w:val="bottom"/>
            <w:shd w:val="clear" w:color="auto" w:fill="BFE4FF"/>
          </w:tcPr>
          <w:p>
            <w:pPr>
              <w:spacing w:after="0"/>
              <w:rPr>
                <w:sz w:val="20"/>
                <w:szCs w:val="20"/>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BFE4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r>
      <w:tr>
        <w:trPr>
          <w:trHeight w:val="29"/>
        </w:trPr>
        <w:tc>
          <w:tcPr>
            <w:tcW w:w="1120" w:type="dxa"/>
            <w:vAlign w:val="bottom"/>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20" w:type="dxa"/>
            <w:vAlign w:val="bottom"/>
            <w:shd w:val="clear" w:color="auto" w:fill="BFE4FF"/>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20" w:type="dxa"/>
            <w:vAlign w:val="bottom"/>
            <w:shd w:val="clear" w:color="auto" w:fill="BFE4FF"/>
          </w:tcPr>
          <w:p>
            <w:pPr>
              <w:spacing w:after="0"/>
              <w:rPr>
                <w:sz w:val="2"/>
                <w:szCs w:val="2"/>
                <w:color w:val="auto"/>
              </w:rPr>
            </w:pPr>
          </w:p>
        </w:tc>
        <w:tc>
          <w:tcPr>
            <w:tcW w:w="3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34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c>
          <w:tcPr>
            <w:tcW w:w="100" w:type="dxa"/>
            <w:vAlign w:val="bottom"/>
            <w:tcBorders>
              <w:right w:val="single" w:sz="8" w:color="auto"/>
            </w:tcBorders>
            <w:shd w:val="clear" w:color="auto" w:fill="BFE4FF"/>
          </w:tcPr>
          <w:p>
            <w:pPr>
              <w:spacing w:after="0"/>
              <w:rPr>
                <w:sz w:val="2"/>
                <w:szCs w:val="2"/>
                <w:color w:val="auto"/>
              </w:rPr>
            </w:pPr>
          </w:p>
        </w:tc>
        <w:tc>
          <w:tcPr>
            <w:tcW w:w="6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2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20" w:type="dxa"/>
            <w:vAlign w:val="bottom"/>
            <w:shd w:val="clear" w:color="auto" w:fill="BFE4FF"/>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1740" w:type="dxa"/>
            <w:vAlign w:val="bottom"/>
            <w:shd w:val="clear" w:color="auto" w:fill="BFE4FF"/>
          </w:tcPr>
          <w:p>
            <w:pPr>
              <w:spacing w:after="0"/>
              <w:rPr>
                <w:sz w:val="2"/>
                <w:szCs w:val="2"/>
                <w:color w:val="auto"/>
              </w:rPr>
            </w:pPr>
          </w:p>
        </w:tc>
      </w:tr>
    </w:tbl>
    <w:p>
      <w:pPr>
        <w:spacing w:after="0" w:line="286" w:lineRule="exact"/>
        <w:rPr>
          <w:sz w:val="20"/>
          <w:szCs w:val="20"/>
          <w:color w:val="auto"/>
        </w:rPr>
      </w:pPr>
    </w:p>
    <w:p>
      <w:pPr>
        <w:ind w:left="222" w:right="20" w:hanging="222"/>
        <w:spacing w:after="0" w:line="253" w:lineRule="auto"/>
        <w:tabs>
          <w:tab w:leader="none" w:pos="19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stock options granted prior to 2020 were granted pursuant to the Sonder Canada Inc. Stock Option Plan. All stock options granted in 2020 and 2021 were granted pursuant to the Legacy Sonder 2019 Equity Incentive Plan, as amended (the “2019 Plan”). Unless otherwise indicated in the footnotes, all stock options granted in 2022 and 2023 were granted pursuant to the 2021 Equity Incentive Plan.</w:t>
      </w:r>
    </w:p>
    <w:p>
      <w:pPr>
        <w:jc w:val="both"/>
        <w:ind w:left="222" w:right="20" w:hanging="222"/>
        <w:spacing w:after="0" w:line="255" w:lineRule="auto"/>
        <w:tabs>
          <w:tab w:leader="none" w:pos="18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Reverse Stock Split, each then-outstanding stock option then held by our named executive officers was adjusted as follows: (a) the number of shares subject to each such option was divided by twenty, with the resulting number rounded down to the nearest whole share; and (b) the exercise price applicable to each such outstanding option was multiplied by twenty, with the resulting price rounded up to the nearest whole cent. The amounts set forth in the table above with respect to options granted prior to September 21, 2023 reflect such adjustments.</w:t>
      </w:r>
    </w:p>
    <w:p>
      <w:pPr>
        <w:spacing w:after="0" w:line="1" w:lineRule="exact"/>
        <w:rPr>
          <w:rFonts w:ascii="Times New Roman" w:cs="Times New Roman" w:eastAsia="Times New Roman" w:hAnsi="Times New Roman"/>
          <w:sz w:val="13"/>
          <w:szCs w:val="13"/>
          <w:color w:val="auto"/>
        </w:rPr>
      </w:pPr>
    </w:p>
    <w:p>
      <w:pPr>
        <w:jc w:val="both"/>
        <w:ind w:left="222" w:right="20" w:hanging="222"/>
        <w:spacing w:after="0" w:line="248" w:lineRule="auto"/>
        <w:tabs>
          <w:tab w:leader="none" w:pos="19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amounts in this column represent the aggregate grant-date fair value of awards granted to each named executive officer, computed in accordance with FASB’s ASC Topic 718. See Note 11, </w:t>
      </w:r>
      <w:r>
        <w:rPr>
          <w:rFonts w:ascii="Times New Roman" w:cs="Times New Roman" w:eastAsia="Times New Roman" w:hAnsi="Times New Roman"/>
          <w:sz w:val="13"/>
          <w:szCs w:val="13"/>
          <w:i w:val="1"/>
          <w:iCs w:val="1"/>
          <w:color w:val="auto"/>
        </w:rPr>
        <w:t>Equity Incentive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Plans and Stock-Based Compensation, </w:t>
      </w:r>
      <w:r>
        <w:rPr>
          <w:rFonts w:ascii="Times New Roman" w:cs="Times New Roman" w:eastAsia="Times New Roman" w:hAnsi="Times New Roman"/>
          <w:sz w:val="13"/>
          <w:szCs w:val="13"/>
          <w:color w:val="auto"/>
        </w:rPr>
        <w:t>to the consolidated financial statements included within Part II, Item 8 of this Annual Report on Form 10-K for additional information regarding the assumptions used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valuation of these awards.</w:t>
      </w:r>
    </w:p>
    <w:p>
      <w:pPr>
        <w:spacing w:after="0" w:line="1" w:lineRule="exact"/>
        <w:rPr>
          <w:rFonts w:ascii="Times New Roman" w:cs="Times New Roman" w:eastAsia="Times New Roman" w:hAnsi="Times New Roman"/>
          <w:sz w:val="13"/>
          <w:szCs w:val="13"/>
          <w:color w:val="auto"/>
        </w:rPr>
      </w:pPr>
    </w:p>
    <w:p>
      <w:pPr>
        <w:jc w:val="both"/>
        <w:ind w:left="222" w:right="20" w:hanging="222"/>
        <w:spacing w:after="0" w:line="254" w:lineRule="auto"/>
        <w:tabs>
          <w:tab w:leader="none" w:pos="18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represent the performance-based RSU awards granted on May 15, 2022 under the 2021 Management Equity Incentive Plan (the “MEIP”), which vest (i) 1/6th on the date on which the Common Share Price (as defined in the MEIP) is equal to or greater than $260.00 (as adjusted for the Reverse Stock Split, Triggering Event I (as defined in the Merger Agreement)), (ii) 1/6th on the date on which the Common Share Price is equal to or greater than $310.00 (as adjusted for the Reverse Stock Split, Triggering Event II (as defined in the Merger Agreement)), (iii) 1/6th on the date on which the Common Share Price is equal to or greater than $360.00 (as adjusted for the Reverse Stock Split, Triggering Event III (as defined in the Merger Agreement)), (iv) 1/6th on the date on which the Common Share Price is equal to or greater than $410.00 (as adjusted for the Reverse Stock Split, Triggering Event IV (as defined in the Merger Agreement)), (v) 1/6th on the date on which the Common Share Price is equal to or greater than $460.00 (as adjusted for the Reverse Stock Split, Triggering Event V (as defined in the Merger Agreement)), and (vi) 1/6th on the date on which the Common Share Price is equal to or greater than $510.00 (as adjusted for the Reverse Stock Split, Triggering Event VI (as defined in the Merger Agreement)), subject in each case to the executive officer’s continued employment through the applicable vesting date. The performance period for the RSUs expires on July 17, 2027.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83" w:name="page184"/>
    <w:bookmarkEnd w:id="183"/>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left="222" w:right="20" w:hanging="222"/>
        <w:spacing w:after="0" w:line="254" w:lineRule="auto"/>
        <w:tabs>
          <w:tab w:leader="none" w:pos="19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December 1, 2022, certain of the Company’s named executive officers along with other employees participated in the Company’s one-time offer to reprice eligible stock options (the “Offer”), which expired on December 1, 2022 (the “Repricing Date”). The executive officer elected to tender this option for repricing pursuant to the Offer. On the Repricing Date, pursuant to the terms of the Offer, this option (i) had its per share exercise price repriced, (ii) became 100% unvested, and (iii) received a modified vesting schedule (with a 1-year vesting cliff which expired on December 1, 2023 (the “Vesting Cliff Date”)). On the Vesting Cliff Date, a number of shares subject to the option vested equal to the number of shares subject to the option that would have been vested on the Vesting Cliff Date if the option had not been tendered for repricing (including shares subject to the option that were vested as of the Repricing Date and shares subject to the option which would have vested during the period commencing on the Repricing Date and ending on the Vesting Cliff Date). Following the Vesting Cliff Date, the option will continue to vest according to the vesting schedule applicable to the option prior to the Repricing Date.</w:t>
      </w:r>
    </w:p>
    <w:p>
      <w:pPr>
        <w:spacing w:after="0" w:line="2" w:lineRule="exact"/>
        <w:rPr>
          <w:rFonts w:ascii="Times New Roman" w:cs="Times New Roman" w:eastAsia="Times New Roman" w:hAnsi="Times New Roman"/>
          <w:sz w:val="13"/>
          <w:szCs w:val="13"/>
          <w:color w:val="auto"/>
        </w:rPr>
      </w:pPr>
    </w:p>
    <w:p>
      <w:pPr>
        <w:jc w:val="both"/>
        <w:ind w:left="222" w:right="20" w:hanging="222"/>
        <w:spacing w:after="0" w:line="252" w:lineRule="auto"/>
        <w:tabs>
          <w:tab w:leader="none" w:pos="193"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stock granted on February 19, 2021 subject to performance-based vesting conditions with an original strike price of $121.80, after the application of adjustments to reflect the impact of the Business Combination and the Reverse Stock Split. Subject to Mr. Davidson remaining an employee through the applicable measurement date, the shares subject to the option will vest in three equal tranches if Sonder achieves certain market capitalization targets prior to December 31, 2025, December 31, 2026, and December 31, 2027, respectively. If an applicable market capitalization target is not achieved by the applicable deadline date, the shares subject to such target will be forfeited at no cost to the Company. The market value targets may be equitably adjusted for any capitalization adjustments pursuant to the 2019 Plan as determined by the Board in its sole and absolute discretion. Mr. Davidson elected to tender this option for repricing pursuant to the Offer. On the Repricing Date, pursuant to the terms of the Offer, the option (i) had its per share exercise price repriced, and (ii) received a modified vesting schedule (with a 1-year vesting cliff which expired on December 1, 2023).</w:t>
      </w:r>
    </w:p>
    <w:p>
      <w:pPr>
        <w:spacing w:after="0" w:line="1"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closing price of one share of the Company’s common stock on the Nasdaq Global Select Market on the Repricing Date, as adjusted for the Reverse Stock Split.</w:t>
      </w:r>
    </w:p>
    <w:p>
      <w:pPr>
        <w:spacing w:after="0" w:line="2" w:lineRule="exact"/>
        <w:rPr>
          <w:rFonts w:ascii="Times New Roman" w:cs="Times New Roman" w:eastAsia="Times New Roman" w:hAnsi="Times New Roman"/>
          <w:sz w:val="13"/>
          <w:szCs w:val="13"/>
          <w:color w:val="auto"/>
        </w:rPr>
      </w:pPr>
    </w:p>
    <w:p>
      <w:pPr>
        <w:jc w:val="both"/>
        <w:ind w:left="222" w:right="20" w:hanging="222"/>
        <w:spacing w:after="0" w:line="252" w:lineRule="auto"/>
        <w:tabs>
          <w:tab w:leader="none" w:pos="18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subject to performance-based vesting conditions. These shares were issued upon the exercise of an option granted on November 15, 2019, which was fully exercised for 8,243,677 shares by Mr. Davidson on December 2, 2019 through the issuance of a promissory note to Sonder in the amount of $24.6 million. On January 14, 2022, prior to the closing of the Business Combination, Legacy Sonder repurchased 1,855,938 shares of common stock of Legacy Sonder held by Mr. Davidson (the equivalent of 136,281 shares of the Company’s common stock after adjusting for the impact of the Business Combination and the Reverse Stock Split), and the proceeds of such sale were used to completely extinguish Mr. Davidson’s promissory note to the Company, which had a total principal and accrued interest amount of $25,704,735.34 as of the date of the transaction. 149,885 of the shares subject to the award vested in 72 equal monthly installments starting on October 1, 2017, generally subject to Mr. Davidson’s continued employment through each applicable vesting date. 262,298 shares subject to the award vest upon the achievement of performance-based vesting conditions: 112,414 shares vest upon a liquidity event, 74,942 shares vest upon a financing event, and 74,942 shares vest if Sonder achieves a target stock price of $105.40 (as adjusted for the Reverse Stock Split) on or prior to November 15, 2026, subject to Mr. Davidson remaining an employee through such vesting date. The shares subject to the liquidity event vesting condition and financing event vesting condition vested in February 2021. The shares subject to time-based vesting fully vested in September 2023. This award is subject to certain acceleration benefits pursuant to the underlying option agreement as described below under “Potential Payments Upon Termination or Change in Control.” 149,885 of the shares subject to the award vested in 72 equal monthly installments starting on October 1, 2017, generally subject to Mr. Davidson’s continued employment through each applicable vesting date. 262,298 shares subject to the award vest upon the achievement of performance-based vesting conditions: 112,414 shares vest upon a liquidity event, 74,942 shares vest upon a financing event, and 74,942 shares vest if Sonder achieves a target stock price of $105.40 (as adjusted for the Reverse Stock Split) on or prior to November 15, 2026, subject to Mr. Davidson remaining an employee through such vesting date. The shares subject to the liquidity event vesting condition and financing event vesting condition vested in February 2021. The shares subject to time-based vesting fully vested in September 2023. This award is subject to certain acceleration benefits pursuant to the underlying option agreement as described below under “Potential Payments Upon Termination or Change in Control.”</w:t>
      </w:r>
    </w:p>
    <w:p>
      <w:pPr>
        <w:spacing w:after="0" w:line="1" w:lineRule="exact"/>
        <w:rPr>
          <w:rFonts w:ascii="Times New Roman" w:cs="Times New Roman" w:eastAsia="Times New Roman" w:hAnsi="Times New Roman"/>
          <w:sz w:val="13"/>
          <w:szCs w:val="13"/>
          <w:color w:val="auto"/>
        </w:rPr>
      </w:pPr>
    </w:p>
    <w:p>
      <w:pPr>
        <w:ind w:left="222" w:right="20" w:hanging="222"/>
        <w:spacing w:after="0" w:line="245" w:lineRule="auto"/>
        <w:tabs>
          <w:tab w:leader="none" w:pos="19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March 16, 2023, which vests in equal monthly installments over a period of 4 years beginning on April 13, 2023, generally subject to Mr. Davidson’s continued employment through each vesting date.</w:t>
      </w:r>
    </w:p>
    <w:p>
      <w:pPr>
        <w:ind w:left="242" w:hanging="242"/>
        <w:spacing w:after="0"/>
        <w:tabs>
          <w:tab w:leader="none" w:pos="24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closing price of one share of the Company’s common stock on the Nasdaq Global Select Market on the date of the grant, as adjusted for the Reverse Stock Split (where applicable).</w:t>
      </w:r>
    </w:p>
    <w:p>
      <w:pPr>
        <w:spacing w:after="0" w:line="9" w:lineRule="exact"/>
        <w:rPr>
          <w:rFonts w:ascii="Times New Roman" w:cs="Times New Roman" w:eastAsia="Times New Roman" w:hAnsi="Times New Roman"/>
          <w:sz w:val="13"/>
          <w:szCs w:val="13"/>
          <w:color w:val="auto"/>
        </w:rPr>
      </w:pPr>
    </w:p>
    <w:p>
      <w:pPr>
        <w:ind w:left="222" w:right="20" w:hanging="222"/>
        <w:spacing w:after="0" w:line="255" w:lineRule="auto"/>
        <w:tabs>
          <w:tab w:leader="none" w:pos="24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pursuant to the 2023 Inducement Plan on March 16, 2023, which vests 25% on March 6, 2024 and vests in equal monthly installments on the 6th day of the month over a period of 36 months thereafter, generally subject to Mr. Bourgault’s continued employment through each applicable vesting date.</w:t>
      </w:r>
    </w:p>
    <w:p>
      <w:pPr>
        <w:ind w:left="222" w:right="20" w:hanging="222"/>
        <w:spacing w:after="0" w:line="245" w:lineRule="auto"/>
        <w:tabs>
          <w:tab w:leader="none" w:pos="263"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September 12, 2023, which vests in equal monthly installments over a period of 4 years beginning on October 1, 2023, generally subject to Mr. Bourgault’s continued employment through each vesting date.</w:t>
      </w:r>
    </w:p>
    <w:p>
      <w:pPr>
        <w:ind w:left="222" w:right="20" w:hanging="222"/>
        <w:spacing w:after="0" w:line="255" w:lineRule="auto"/>
        <w:tabs>
          <w:tab w:leader="none" w:pos="25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August 3, 2017, after the application of adjustments to reflect the impact of the Business Combination and the Reverse Stock Split. This option vested 1/48th monthly beginning on May 1, 2017 and is 100% vested.</w:t>
      </w:r>
    </w:p>
    <w:p>
      <w:pPr>
        <w:ind w:left="222" w:hanging="222"/>
        <w:spacing w:after="0" w:line="245" w:lineRule="auto"/>
        <w:tabs>
          <w:tab w:leader="none" w:pos="257"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fair market value of a share of Legacy Sonder common stock on the date of the grant, as determined by the Legacy Board, as adjusted to reflect the impact of the Business Combination and the Reverse Stock Split.</w:t>
      </w:r>
    </w:p>
    <w:p>
      <w:pPr>
        <w:ind w:left="222" w:right="20" w:hanging="222"/>
        <w:spacing w:after="0" w:line="255" w:lineRule="auto"/>
        <w:tabs>
          <w:tab w:leader="none" w:pos="25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November 9, 2017, after the application of adjustments to reflect the impact of the Business Combination and the Reverse Stock Split. This option vested 1/48th monthly beginning on August 1, 2017 and is 100% vested.</w:t>
      </w:r>
    </w:p>
    <w:p>
      <w:pPr>
        <w:ind w:left="222" w:right="20" w:hanging="222"/>
        <w:spacing w:after="0" w:line="249" w:lineRule="auto"/>
        <w:tabs>
          <w:tab w:leader="none" w:pos="26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January 28, 2019, after the application of adjustments to reflect the impact of the Business Combination and the Reverse Stock Split. The option vested 25% on January 28, 2020, 1/48th on January 31, 2020, and thereafter vested 1/48th in equal monthly installments on the last day of the month. This option is 100% vested.</w:t>
      </w:r>
    </w:p>
    <w:p>
      <w:pPr>
        <w:ind w:left="222" w:right="20" w:hanging="222"/>
        <w:spacing w:after="0" w:line="251" w:lineRule="auto"/>
        <w:tabs>
          <w:tab w:leader="none" w:pos="26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January 28, 2019, after the application of adjustments to reflect the impact of the Business Combination and the Reverse Stock Split. This option vested 1/48th monthly beginning on February 1, 2018 and is 100% vested.</w:t>
      </w:r>
    </w:p>
    <w:p>
      <w:pPr>
        <w:ind w:left="222" w:right="20" w:hanging="222"/>
        <w:spacing w:after="0" w:line="255" w:lineRule="auto"/>
        <w:tabs>
          <w:tab w:leader="none" w:pos="26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January 28, 2019, after the application of adjustments to reflect the impact of the Business Combination and the Reverse Stock Split. This option vested 25% on December 14, 2019, 1/48th on December 31, 2019, and thereafter vested 1/48th in equal monthly installments on the last day of the month. This option is 100% vested.</w:t>
      </w:r>
    </w:p>
    <w:p>
      <w:pPr>
        <w:ind w:left="222" w:right="20" w:hanging="222"/>
        <w:spacing w:after="0" w:line="245" w:lineRule="auto"/>
        <w:tabs>
          <w:tab w:leader="none" w:pos="261"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January 28, 2019, after the application of adjustments to reflect the impact of the Business Combination and the Reverse Stock Split. This option vested 25% on March 27, 2018, 1/48th on March 31, 2018, and thereafter vested 1/48th in equal monthly installments on the last day of the month. This option is 100% vested.</w:t>
      </w:r>
    </w:p>
    <w:p>
      <w:pPr>
        <w:ind w:left="222" w:right="20" w:hanging="222"/>
        <w:spacing w:after="0" w:line="255" w:lineRule="auto"/>
        <w:tabs>
          <w:tab w:leader="none" w:pos="256"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November 15, 2019, after the application of adjustments to reflect the impact of the Business Combination and the Reverse Stock Split. This option vested 25% on August 13, 2020 and thereafter vested 1/48th in equal monthly installments. This option is 100% vested.</w:t>
      </w:r>
    </w:p>
    <w:p>
      <w:pPr>
        <w:jc w:val="both"/>
        <w:ind w:left="222" w:right="20" w:hanging="222"/>
        <w:spacing w:after="0" w:line="253" w:lineRule="auto"/>
        <w:tabs>
          <w:tab w:leader="none" w:pos="25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vests 1/48th monthly beginning on March 4, 2020 (subject to a 12-month pause in vesting following the Repricing Date, which expired on the Vesting Cliff Date), generally subject to Mr. Picard’s continued employment through each vesting date.</w:t>
      </w:r>
    </w:p>
    <w:p>
      <w:pPr>
        <w:spacing w:after="0" w:line="200" w:lineRule="exact"/>
        <w:rPr>
          <w:sz w:val="20"/>
          <w:szCs w:val="20"/>
          <w:color w:val="auto"/>
        </w:rPr>
      </w:pPr>
    </w:p>
    <w:p>
      <w:pPr>
        <w:spacing w:after="0" w:line="3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84" w:name="page185"/>
    <w:bookmarkEnd w:id="184"/>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left="222" w:hanging="222"/>
        <w:spacing w:after="0" w:line="256" w:lineRule="auto"/>
        <w:tabs>
          <w:tab w:leader="none" w:pos="252"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February 7, 2020 with an original strike price of $57.00, after the application of adjustments to reflect the impact of the Business Combination and the Reverse Stock Split. Mr. Picard elected to tender this option for repricing pursuant to the Offer. This option vested 25% on May 5, 2016, 1/48 on June 30, 2016, and thereafter vested 1/48th in equal monthly installments over a period of 36 months (subject to a 12 month pause in vesting following the Repricing Date, which expired on the Vesting Cliff Date). This option is 100% vested.</w:t>
      </w:r>
    </w:p>
    <w:p>
      <w:pPr>
        <w:jc w:val="both"/>
        <w:ind w:left="222" w:hanging="222"/>
        <w:spacing w:after="0" w:line="252" w:lineRule="auto"/>
        <w:tabs>
          <w:tab w:leader="none" w:pos="25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June 18, 2020 with an original strike price of $60.00, after the application of adjustments to reflect the impact of the Business Combination and the Reverse Stock Split. Mr. Picard elected to tender this option for repricing pursuant to the Offer. This option was originally 100% vested on the grant date. Pursuant to the terms of the Offer, this option became 100% unvested on the Repricing Date and became 100% vested again on the Vesting Cliff Date.</w:t>
      </w:r>
    </w:p>
    <w:p>
      <w:pPr>
        <w:spacing w:after="0" w:line="1" w:lineRule="exact"/>
        <w:rPr>
          <w:rFonts w:ascii="Times New Roman" w:cs="Times New Roman" w:eastAsia="Times New Roman" w:hAnsi="Times New Roman"/>
          <w:sz w:val="13"/>
          <w:szCs w:val="13"/>
          <w:color w:val="auto"/>
        </w:rPr>
      </w:pPr>
    </w:p>
    <w:p>
      <w:pPr>
        <w:jc w:val="both"/>
        <w:ind w:left="222" w:hanging="222"/>
        <w:spacing w:after="0" w:line="248" w:lineRule="auto"/>
        <w:tabs>
          <w:tab w:leader="none" w:pos="255"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November 5, 2020 with an original strike price of $58.60, after the application of adjustments to reflect the impact of the Business Combination and the Reverse Stock Split. Mr. Picard elected to tender this option for repricing pursuant to the Offer. This option vested 25% on November 5, 2021 and thereafter vests in equal monthly installments over a period of 36 months (subject to a 12-month pause in vesting following the Repricing Date, which expired on the Vesting Cliff Date).</w:t>
      </w:r>
    </w:p>
    <w:p>
      <w:pPr>
        <w:spacing w:after="0" w:line="1" w:lineRule="exact"/>
        <w:rPr>
          <w:rFonts w:ascii="Times New Roman" w:cs="Times New Roman" w:eastAsia="Times New Roman" w:hAnsi="Times New Roman"/>
          <w:sz w:val="13"/>
          <w:szCs w:val="13"/>
          <w:color w:val="auto"/>
        </w:rPr>
      </w:pPr>
    </w:p>
    <w:p>
      <w:pPr>
        <w:jc w:val="both"/>
        <w:ind w:left="222" w:hanging="222"/>
        <w:spacing w:after="0" w:line="255" w:lineRule="auto"/>
        <w:tabs>
          <w:tab w:leader="none" w:pos="25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February 19, 2021 with an original strike price of $121.80,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March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3"/>
          <w:szCs w:val="13"/>
          <w:color w:val="auto"/>
        </w:rPr>
      </w:pPr>
    </w:p>
    <w:p>
      <w:pPr>
        <w:jc w:val="both"/>
        <w:ind w:left="222" w:hanging="222"/>
        <w:spacing w:after="0" w:line="248" w:lineRule="auto"/>
        <w:tabs>
          <w:tab w:leader="none" w:pos="252"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November 11, 2021 with an original strike price of $164.60, after the application of adjustments to reflect the impact of the Business Combination and the Reverse Stock Split. Mr. Picard elected to tender this option for repricing pursuant to the Offer. This option vests 1/48th in equal monthly installments over a period of 48 months starting on October 1, 2021 (subject to a 12-month pause in vesting following the Repricing Date, which expired on the Vesting Cliff Date).</w:t>
      </w:r>
    </w:p>
    <w:p>
      <w:pPr>
        <w:spacing w:after="0" w:line="1" w:lineRule="exact"/>
        <w:rPr>
          <w:rFonts w:ascii="Times New Roman" w:cs="Times New Roman" w:eastAsia="Times New Roman" w:hAnsi="Times New Roman"/>
          <w:sz w:val="13"/>
          <w:szCs w:val="13"/>
          <w:color w:val="auto"/>
        </w:rPr>
      </w:pPr>
    </w:p>
    <w:p>
      <w:pPr>
        <w:jc w:val="both"/>
        <w:ind w:left="222" w:hanging="222"/>
        <w:spacing w:after="0" w:line="251" w:lineRule="auto"/>
        <w:tabs>
          <w:tab w:leader="none" w:pos="257"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August 16, 2022 with an original strike price of $51.00, after the application of adjustments to reflect the Reverse Stock Split. Mr. Picard elected to tender this option for repricing pursuant to the Offer. This option vests 1/48th in equal monthly installments over a period of 48 months starting on September 16, 2022 (subject to a 12-month pause in vesting following the Repricing Date, which expired on the Vesting Cliff Date).</w:t>
      </w:r>
    </w:p>
    <w:p>
      <w:pPr>
        <w:spacing w:after="0" w:line="1" w:lineRule="exact"/>
        <w:rPr>
          <w:rFonts w:ascii="Times New Roman" w:cs="Times New Roman" w:eastAsia="Times New Roman" w:hAnsi="Times New Roman"/>
          <w:sz w:val="13"/>
          <w:szCs w:val="13"/>
          <w:color w:val="auto"/>
        </w:rPr>
      </w:pPr>
    </w:p>
    <w:p>
      <w:pPr>
        <w:ind w:left="222" w:hanging="222"/>
        <w:spacing w:after="0" w:line="251" w:lineRule="auto"/>
        <w:tabs>
          <w:tab w:leader="none" w:pos="25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March 16, 2023. This option vests 1/48th in equal monthly installments over a period of 48 months starting on April 13, 2023, generally subject to Mr. Picard’s continued employment through each vesting date.</w:t>
      </w:r>
    </w:p>
    <w:p>
      <w:pPr>
        <w:ind w:left="222" w:hanging="222"/>
        <w:spacing w:after="0" w:line="271" w:lineRule="auto"/>
        <w:tabs>
          <w:tab w:leader="none" w:pos="253"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common stock granted on September 12, 2023. This option vests 1/48th in equal monthly installments over a period of 48 months starting on October 1, 2023, generally subject to Mr. Picard’s continued employment through each vesting date.</w:t>
      </w:r>
    </w:p>
    <w:p>
      <w:pPr>
        <w:spacing w:after="0" w:line="19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Named Executive Officer Employment Arrangements</w:t>
      </w:r>
    </w:p>
    <w:p>
      <w:pPr>
        <w:spacing w:after="0" w:line="236"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We have entered into employment agreements or confirmatory offer letters setting forth the material terms and conditions of employment for each of Sonder’s named executive officers, as described below.</w:t>
      </w:r>
    </w:p>
    <w:p>
      <w:pPr>
        <w:spacing w:after="0" w:line="16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Francis Davidson</w:t>
      </w:r>
    </w:p>
    <w:p>
      <w:pPr>
        <w:spacing w:after="0" w:line="232"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Legacy Sonder entered into a confirmatory offer letter with Mr. Davidson, its Chief Executive Officer, on September 14, 2021. Mr. Davidson’s offer letter provides for an annual base salary and eligibility to participate in Sonder’s employee benefit plans. Since September 14, 2021, Mr. Davidson’s annual base salary has been $360,000.</w:t>
      </w:r>
    </w:p>
    <w:p>
      <w:pPr>
        <w:spacing w:after="0" w:line="16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Dominique Bourgault</w:t>
      </w:r>
    </w:p>
    <w:p>
      <w:pPr>
        <w:spacing w:after="0" w:line="232" w:lineRule="exact"/>
        <w:rPr>
          <w:sz w:val="20"/>
          <w:szCs w:val="20"/>
          <w:color w:val="auto"/>
        </w:rPr>
      </w:pPr>
    </w:p>
    <w:p>
      <w:pPr>
        <w:jc w:val="both"/>
        <w:ind w:left="2"/>
        <w:spacing w:after="0" w:line="264" w:lineRule="auto"/>
        <w:rPr>
          <w:sz w:val="20"/>
          <w:szCs w:val="20"/>
          <w:color w:val="auto"/>
        </w:rPr>
      </w:pPr>
      <w:r>
        <w:rPr>
          <w:rFonts w:ascii="Times New Roman" w:cs="Times New Roman" w:eastAsia="Times New Roman" w:hAnsi="Times New Roman"/>
          <w:sz w:val="16"/>
          <w:szCs w:val="16"/>
          <w:color w:val="auto"/>
        </w:rPr>
        <w:t>Mr. Bourgault signed an offer letter with Sonder on February 23, 2023 in connection with his appointment as the Company’s Chief Financial Officer, effective March 6, 2023. Mr. Bourgault’s offer letter provides for (a) an annual base salary of $495,000, (b) an initial grant of options to purchase 137,051 shares of the Company’s common stock (after adjusting for the Reverse Stock Split), which was granted on March 16, 2023, vesting over four years (vesting 25% after a one-year cliff and monthly thereafter), subject to Mr. Bourgault’s continued service, (c) participation in the Company’s Key Executive Change in Control and Severance Plans, and (d) eligibility to participate in Sonder’s employee benefit plans.</w:t>
      </w:r>
    </w:p>
    <w:p>
      <w:pPr>
        <w:spacing w:after="0" w:line="18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Martin Picard</w:t>
      </w:r>
    </w:p>
    <w:p>
      <w:pPr>
        <w:spacing w:after="0" w:line="232"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Legacy Sonder entered into an employment agreement with Mr. Picard, its Chief Real Estate Officer, which was effective on February 10, 2020. Mr. Picard’s offer letter provides for an annual base salary and eligibility to participate in Sonder’s employee benefit plans. Since August 16, 2022, Mr. Picard’s annual base salary has been CAD480,000.</w:t>
      </w:r>
    </w:p>
    <w:p>
      <w:pPr>
        <w:spacing w:after="0" w:line="18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Employee Benefit Plans</w:t>
      </w:r>
    </w:p>
    <w:p>
      <w:pPr>
        <w:spacing w:after="0" w:line="232"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Our named executive officers are entitled to participate in our equity incentive plans and are eligible to participate in our 401(k) plan on the same terms as all other employees. We do not maintain any supplemental health or welfare plans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Our directors play a critical role in guiding our strategic direction and overseeing the management of Sonder. The many responsibilities and risks and the substantial time commitment of being a director require that we provide adequate compensation commensurate with our directors’ workload and opportunity costs.</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Directors who are employees of the Company do not receive additional compensation for their service as directors. The Board has adopted a compensation policy that governs the cash and equity compensation for our non-employee directors, which was amended in September 2023 and May 2024 as described below (as amended from time to time, the “Outside Director Compensation Policy”). The Outside Director Compensation Policy was developed with input from an independent compensation consultant regarding practices and compensation levels at comparable companies. It is designed to attract, retain, and reward non-employee directors. Under the Outside Director Compensation Policy, each of our non-employee directors receives the cash and equity compensation for services described below. We will also continue to reimburse our non-employee directors for reasonable, customary, and documented travel expenses to Board or committee meetings.</w:t>
      </w:r>
    </w:p>
    <w:p>
      <w:pPr>
        <w:spacing w:after="0" w:line="19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The Outside Director Compensation Policy provides for a maximum annual limit of $750,000 of aggregate compensation (cash retainers and fees and equity awards) that may be paid, issued or granted to a non-employee director in any fiscal year, and this limit is increased to $1,000,000 in an individual’s first year of service as a non-employee director. For purposes of this limitation, the value of equity awards is based on the grant date fair value (determined in accordance with generally accepted accounting principles in the United States of America (“GAAP”)). Any cash compensation paid or equity awards granted to a person for their services as an employee, or for their services as a consultant (other than as a non-employee director), does not count towards such limitation. The maximum limit does not reflect the intended size of any potential compensation or equity awards to our non-employee directors.</w:t>
      </w:r>
    </w:p>
    <w:p>
      <w:pPr>
        <w:spacing w:after="0" w:line="19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September 2023, the Board reduced the grant date fair value of the Initial Award (as defined below) under the Outside Director Compensation Policy from $320,000 to $160,000. In May 2024, the Board increased the annual cash retainer payable to the Lead Independent Director under the Outside Director Compensation Policy from $15,000 to $35,000.</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Cash Compensation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non-employee directors are entitled to receive the following in cash compensation for their services under the Outside Director Compensation Policy:</w:t>
      </w:r>
    </w:p>
    <w:p>
      <w:pPr>
        <w:spacing w:after="0" w:line="232" w:lineRule="exact"/>
        <w:rPr>
          <w:sz w:val="20"/>
          <w:szCs w:val="20"/>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$35,000 per year for service as a board member;</w:t>
      </w:r>
    </w:p>
    <w:p>
      <w:pPr>
        <w:spacing w:after="0" w:line="27"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$35,000 per year for service as a lead independent director ($15,000 per year prior to May 2024);</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 per year for service as chair of the Audit Committee;</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per year for service as a member of the Audit Committee;</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$12,000 per year for service as chair of the Compensation Committee;</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 per year for service as a member of the Compensation Committee;</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$8,000 per year for service as chair of the Governance Committee; and</w:t>
      </w:r>
    </w:p>
    <w:p>
      <w:pPr>
        <w:spacing w:after="0" w:line="11" w:lineRule="exact"/>
        <w:rPr>
          <w:rFonts w:ascii="Times New Roman" w:cs="Times New Roman" w:eastAsia="Times New Roman" w:hAnsi="Times New Roman"/>
          <w:sz w:val="16"/>
          <w:szCs w:val="16"/>
          <w:color w:val="auto"/>
        </w:rPr>
      </w:pPr>
    </w:p>
    <w:p>
      <w:pPr>
        <w:ind w:left="1160" w:hanging="280"/>
        <w:spacing w:after="0"/>
        <w:tabs>
          <w:tab w:leader="none" w:pos="11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$4,000 per year for service as a member of the Governance Committee.</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the Outside Director Compensation Policy, each non-employee director who serves as the chair of a committee is entitled to receive only the annual cash fee as the chair of the committee, and not the annual cash fee as a member of the committee, provided that each non-employee director who serves as the lead independent director is entitled to receive the annual cash fee for service as a board member and the additional annual cash fee for service as the lead independent director. All cash payments to non-employee directors are paid by us quarterly in arrears on a pro-rated basis.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Equity Compensation</w:t>
      </w:r>
    </w:p>
    <w:p>
      <w:pPr>
        <w:spacing w:after="0" w:line="2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Initial Award</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Pursuant to the Outside Director Compensation Policy, each non-employee director receives, on the first trading date on or after the date on which such person is or was first elected as a non-employee director (the “Initial Start Date”), an initial award of restricted stock units (the “Initial Award”) covering a number of shares of our common stock having a grant date fair value (determined in accordance with GAAP) equal to $160,000 (or $320,000 for non-employee directors who were appointed or elected prior to September 28, 2023); provided that any resulting fraction of a share will be rounded down 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6" w:name="page187"/>
    <w:bookmarkEnd w:id="186"/>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6"/>
          <w:szCs w:val="16"/>
          <w:color w:val="auto"/>
        </w:rPr>
        <w:t>the nearest whole share. Initial Awards vest as follows: one-third of the shares subject to the Initial Award vest annually following the Initial Start Date on the same day of the month as the Initial Start Date (or, if there is no corresponding day in a particular month, then the last day of that month), in each case subject to the non-employee director continuing to be a non-employee director through the applicable vesting date. An employee-director does not become entitled to receive an Initial Award if such director ceases to be an employee but remains on the Board as a non-employee director.</w:t>
      </w:r>
    </w:p>
    <w:p>
      <w:pPr>
        <w:spacing w:after="0" w:line="18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Annual Award</w:t>
      </w:r>
    </w:p>
    <w:p>
      <w:pPr>
        <w:spacing w:after="0" w:line="232" w:lineRule="exact"/>
        <w:rPr>
          <w:sz w:val="20"/>
          <w:szCs w:val="20"/>
          <w:color w:val="auto"/>
        </w:rPr>
      </w:pPr>
    </w:p>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Each non-employee director, other than the excluded directors, automatically receives, on the date of each annual meeting of our stockholders, an annual award of restricted stock units (an “Annual Award”) covering a number of shares of our common stock having a grant date fair value (determined in accordance with GAAP) of $160,000; provided that the first Annual Award granted to an individual following his or her initial election to the Board as a non-employee director will have a grant date fair value equal to the product of (A) $160,000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be scheduled to vest in full on the earlier of (i) the one-year anniversary of the grant date or (ii) the date of the next annual meeting of our stockholders following the grant date, in each case, subject to the non-employee director continuing to be a non-employee director through the applicable vesting date.</w:t>
      </w:r>
    </w:p>
    <w:p>
      <w:pPr>
        <w:spacing w:after="0" w:line="193"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In the event of a “change in control” (as defined in the 2021 Equity Incentive Plan), each non-employee director will fully vest in their outstanding company equity awards issued under the Outside Director Compensation Policy, including any Initial Award or Annual Award, immediately prior to the consummation of the change in control, provided that the non-employee director continues to be a non-employee director through such date.</w:t>
      </w:r>
    </w:p>
    <w:p>
      <w:pPr>
        <w:spacing w:after="0" w:line="17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2023 Director Compensation Table</w:t>
      </w:r>
    </w:p>
    <w:p>
      <w:pPr>
        <w:spacing w:after="0" w:line="236" w:lineRule="exact"/>
        <w:rPr>
          <w:sz w:val="20"/>
          <w:szCs w:val="20"/>
          <w:color w:val="auto"/>
        </w:rPr>
      </w:pPr>
    </w:p>
    <w:p>
      <w:pPr>
        <w:jc w:val="both"/>
        <w:ind w:left="2" w:right="20"/>
        <w:spacing w:after="0" w:line="273" w:lineRule="auto"/>
        <w:rPr>
          <w:sz w:val="20"/>
          <w:szCs w:val="20"/>
          <w:color w:val="auto"/>
        </w:rPr>
      </w:pPr>
      <w:r>
        <w:rPr>
          <w:rFonts w:ascii="Times New Roman" w:cs="Times New Roman" w:eastAsia="Times New Roman" w:hAnsi="Times New Roman"/>
          <w:sz w:val="16"/>
          <w:szCs w:val="16"/>
          <w:color w:val="auto"/>
        </w:rPr>
        <w:t>The following table lists actual compensation paid to each of our non-employee directors for the year ended December 31, 2023. Mr. Davidson, our CEO, does not receive additional compensation for his service as a director. All compensation paid to Mr. Davidson is reported in the “Summary Compensation Table” appearing earlier in this Annual Report.</w:t>
      </w:r>
    </w:p>
    <w:p>
      <w:pPr>
        <w:spacing w:after="0" w:line="225" w:lineRule="exact"/>
        <w:rPr>
          <w:sz w:val="20"/>
          <w:szCs w:val="20"/>
          <w:color w:val="auto"/>
        </w:rPr>
      </w:pPr>
    </w:p>
    <w:tbl>
      <w:tblPr>
        <w:tblLayout w:type="fixed"/>
        <w:tblInd w:w="22" w:type="dxa"/>
        <w:tblCellMar>
          <w:top w:w="0" w:type="dxa"/>
          <w:left w:w="0" w:type="dxa"/>
          <w:bottom w:w="0" w:type="dxa"/>
          <w:right w:w="0" w:type="dxa"/>
        </w:tblCellMar>
      </w:tblPr>
      <w:tr>
        <w:trPr>
          <w:trHeight w:val="196"/>
        </w:trPr>
        <w:tc>
          <w:tcPr>
            <w:tcW w:w="880" w:type="dxa"/>
            <w:vAlign w:val="bottom"/>
          </w:tcPr>
          <w:p>
            <w:pPr>
              <w:spacing w:after="0"/>
              <w:rPr>
                <w:sz w:val="17"/>
                <w:szCs w:val="17"/>
                <w:color w:val="auto"/>
              </w:rPr>
            </w:pP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Fees Earned or Paid in Cash</w:t>
            </w:r>
          </w:p>
        </w:tc>
        <w:tc>
          <w:tcPr>
            <w:tcW w:w="300" w:type="dxa"/>
            <w:vAlign w:val="bottom"/>
          </w:tcPr>
          <w:p>
            <w:pPr>
              <w:spacing w:after="0"/>
              <w:rPr>
                <w:sz w:val="17"/>
                <w:szCs w:val="17"/>
                <w:color w:val="auto"/>
              </w:rPr>
            </w:pPr>
          </w:p>
        </w:tc>
        <w:tc>
          <w:tcPr>
            <w:tcW w:w="2040" w:type="dxa"/>
            <w:vAlign w:val="bottom"/>
            <w:vMerge w:val="restart"/>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Stock Awards ($)</w:t>
            </w:r>
            <w:r>
              <w:rPr>
                <w:rFonts w:ascii="Times New Roman" w:cs="Times New Roman" w:eastAsia="Times New Roman" w:hAnsi="Times New Roman"/>
                <w:sz w:val="21"/>
                <w:szCs w:val="21"/>
                <w:b w:val="1"/>
                <w:bCs w:val="1"/>
                <w:color w:val="auto"/>
                <w:vertAlign w:val="superscript"/>
              </w:rPr>
              <w:t>(2)(3)</w:t>
            </w:r>
          </w:p>
        </w:tc>
        <w:tc>
          <w:tcPr>
            <w:tcW w:w="214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All Other Compensation ($)</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ind w:left="500"/>
              <w:spacing w:after="0" w:line="241"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color w:val="auto"/>
              </w:rPr>
              <w:t>(1)</w:t>
            </w: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vMerge w:val="continue"/>
          </w:tcPr>
          <w:p>
            <w:pPr>
              <w:spacing w:after="0"/>
              <w:rPr>
                <w:sz w:val="20"/>
                <w:szCs w:val="20"/>
                <w:color w:val="auto"/>
              </w:rPr>
            </w:pPr>
          </w:p>
        </w:tc>
        <w:tc>
          <w:tcPr>
            <w:tcW w:w="2140" w:type="dxa"/>
            <w:vAlign w:val="bottom"/>
            <w:tcBorders>
              <w:bottom w:val="single" w:sz="8" w:color="auto"/>
            </w:tcBorders>
            <w:gridSpan w:val="2"/>
            <w:vMerge w:val="continue"/>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Nabeel Hyatt</w:t>
            </w:r>
          </w:p>
        </w:tc>
        <w:tc>
          <w:tcPr>
            <w:tcW w:w="14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3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159,967</w:t>
            </w:r>
          </w:p>
        </w:tc>
        <w:tc>
          <w:tcPr>
            <w:tcW w:w="840" w:type="dxa"/>
            <w:vAlign w:val="bottom"/>
            <w:tcBorders>
              <w:bottom w:val="single" w:sz="8" w:color="CCEEFF"/>
            </w:tcBorders>
            <w:shd w:val="clear" w:color="auto" w:fill="CCEEFF"/>
          </w:tcPr>
          <w:p>
            <w:pPr>
              <w:jc w:val="right"/>
              <w:ind w:right="61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198,967</w:t>
            </w: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Frits Dirk van Paasschen</w:t>
            </w:r>
            <w:r>
              <w:rPr>
                <w:rFonts w:ascii="Times New Roman" w:cs="Times New Roman" w:eastAsia="Times New Roman" w:hAnsi="Times New Roman"/>
                <w:sz w:val="21"/>
                <w:szCs w:val="21"/>
                <w:color w:val="auto"/>
                <w:vertAlign w:val="superscript"/>
              </w:rPr>
              <w:t>(4)</w:t>
            </w:r>
          </w:p>
        </w:tc>
        <w:tc>
          <w:tcPr>
            <w:tcW w:w="1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72,000</w:t>
            </w:r>
          </w:p>
        </w:tc>
        <w:tc>
          <w:tcPr>
            <w:tcW w:w="3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159,967</w:t>
            </w:r>
          </w:p>
        </w:tc>
        <w:tc>
          <w:tcPr>
            <w:tcW w:w="8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231,967</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Janice Sears</w:t>
            </w:r>
          </w:p>
        </w:tc>
        <w:tc>
          <w:tcPr>
            <w:tcW w:w="1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159,967</w:t>
            </w:r>
          </w:p>
        </w:tc>
        <w:tc>
          <w:tcPr>
            <w:tcW w:w="8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220,967</w:t>
            </w: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Gilda Perez-Alvarado</w:t>
            </w:r>
            <w:r>
              <w:rPr>
                <w:rFonts w:ascii="Times New Roman" w:cs="Times New Roman" w:eastAsia="Times New Roman" w:hAnsi="Times New Roman"/>
                <w:sz w:val="21"/>
                <w:szCs w:val="21"/>
                <w:color w:val="auto"/>
                <w:vertAlign w:val="superscript"/>
              </w:rPr>
              <w:t>(5)</w:t>
            </w:r>
          </w:p>
        </w:tc>
        <w:tc>
          <w:tcPr>
            <w:tcW w:w="1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29,250</w:t>
            </w:r>
          </w:p>
        </w:tc>
        <w:tc>
          <w:tcPr>
            <w:tcW w:w="3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159,967</w:t>
            </w:r>
          </w:p>
        </w:tc>
        <w:tc>
          <w:tcPr>
            <w:tcW w:w="8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189,217</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Michelle Frymire</w:t>
            </w:r>
          </w:p>
        </w:tc>
        <w:tc>
          <w:tcPr>
            <w:tcW w:w="1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133,308</w:t>
            </w:r>
          </w:p>
        </w:tc>
        <w:tc>
          <w:tcPr>
            <w:tcW w:w="8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186,308</w:t>
            </w:r>
          </w:p>
        </w:tc>
        <w:tc>
          <w:tcPr>
            <w:tcW w:w="0" w:type="dxa"/>
            <w:vAlign w:val="bottom"/>
          </w:tcPr>
          <w:p>
            <w:pPr>
              <w:spacing w:after="0"/>
              <w:rPr>
                <w:sz w:val="1"/>
                <w:szCs w:val="1"/>
                <w:color w:val="auto"/>
              </w:rPr>
            </w:pPr>
          </w:p>
        </w:tc>
      </w:tr>
      <w:tr>
        <w:trPr>
          <w:trHeight w:val="219"/>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Prashant (Sean) Aggarwal</w:t>
            </w:r>
          </w:p>
        </w:tc>
        <w:tc>
          <w:tcPr>
            <w:tcW w:w="1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3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119,979</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164,979</w:t>
            </w:r>
          </w:p>
        </w:tc>
        <w:tc>
          <w:tcPr>
            <w:tcW w:w="0" w:type="dxa"/>
            <w:vAlign w:val="bottom"/>
          </w:tcPr>
          <w:p>
            <w:pPr>
              <w:spacing w:after="0"/>
              <w:rPr>
                <w:sz w:val="1"/>
                <w:szCs w:val="1"/>
                <w:color w:val="auto"/>
              </w:rPr>
            </w:pPr>
          </w:p>
        </w:tc>
      </w:tr>
      <w:tr>
        <w:trPr>
          <w:trHeight w:val="38"/>
        </w:trPr>
        <w:tc>
          <w:tcPr>
            <w:tcW w:w="8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Sanjay Banker</w:t>
            </w:r>
            <w:r>
              <w:rPr>
                <w:rFonts w:ascii="Times New Roman" w:cs="Times New Roman" w:eastAsia="Times New Roman" w:hAnsi="Times New Roman"/>
                <w:sz w:val="21"/>
                <w:szCs w:val="21"/>
                <w:color w:val="auto"/>
                <w:vertAlign w:val="superscript"/>
              </w:rPr>
              <w:t>(6)</w:t>
            </w:r>
          </w:p>
        </w:tc>
        <w:tc>
          <w:tcPr>
            <w:tcW w:w="1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399,966</w:t>
            </w: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509,367</w:t>
            </w:r>
          </w:p>
        </w:tc>
        <w:tc>
          <w:tcPr>
            <w:tcW w:w="9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944,333</w:t>
            </w:r>
          </w:p>
        </w:tc>
        <w:tc>
          <w:tcPr>
            <w:tcW w:w="0" w:type="dxa"/>
            <w:vAlign w:val="bottom"/>
          </w:tcPr>
          <w:p>
            <w:pPr>
              <w:spacing w:after="0"/>
              <w:rPr>
                <w:sz w:val="1"/>
                <w:szCs w:val="1"/>
                <w:color w:val="auto"/>
              </w:rPr>
            </w:pPr>
          </w:p>
        </w:tc>
      </w:tr>
      <w:tr>
        <w:trPr>
          <w:trHeight w:val="257"/>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Simon Turner</w:t>
            </w:r>
            <w:r>
              <w:rPr>
                <w:rFonts w:ascii="Times New Roman" w:cs="Times New Roman" w:eastAsia="Times New Roman" w:hAnsi="Times New Roman"/>
                <w:sz w:val="21"/>
                <w:szCs w:val="21"/>
                <w:color w:val="auto"/>
                <w:vertAlign w:val="superscript"/>
              </w:rPr>
              <w:t>(7)</w:t>
            </w:r>
          </w:p>
        </w:tc>
        <w:tc>
          <w:tcPr>
            <w:tcW w:w="1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3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218,567</w:t>
            </w:r>
          </w:p>
        </w:tc>
        <w:tc>
          <w:tcPr>
            <w:tcW w:w="8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228,817</w:t>
            </w:r>
          </w:p>
        </w:tc>
        <w:tc>
          <w:tcPr>
            <w:tcW w:w="0" w:type="dxa"/>
            <w:vAlign w:val="bottom"/>
          </w:tcPr>
          <w:p>
            <w:pPr>
              <w:spacing w:after="0"/>
              <w:rPr>
                <w:sz w:val="1"/>
                <w:szCs w:val="1"/>
                <w:color w:val="auto"/>
              </w:rPr>
            </w:pPr>
          </w:p>
        </w:tc>
      </w:tr>
      <w:tr>
        <w:trPr>
          <w:trHeight w:val="257"/>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Tom Buoy</w:t>
            </w:r>
            <w:r>
              <w:rPr>
                <w:rFonts w:ascii="Times New Roman" w:cs="Times New Roman" w:eastAsia="Times New Roman" w:hAnsi="Times New Roman"/>
                <w:sz w:val="21"/>
                <w:szCs w:val="21"/>
                <w:color w:val="auto"/>
                <w:vertAlign w:val="superscript"/>
              </w:rPr>
              <w:t>(8)</w:t>
            </w:r>
          </w:p>
        </w:tc>
        <w:tc>
          <w:tcPr>
            <w:tcW w:w="14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30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218,567</w:t>
            </w:r>
          </w:p>
        </w:tc>
        <w:tc>
          <w:tcPr>
            <w:tcW w:w="8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225,774</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222" w:right="20" w:hanging="222"/>
        <w:spacing w:after="0" w:line="253" w:lineRule="auto"/>
        <w:tabs>
          <w:tab w:leader="none" w:pos="19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annual retainer, committee and chair fees and the lead independent director fee paid to our non-employee directors under the Outside Director Compensation Policy. Director fees are generally paid quarterly in arrears. Accordingly, director fees earned in the fourth quarter of 2022 were paid in early 2023.</w:t>
      </w:r>
    </w:p>
    <w:p>
      <w:pPr>
        <w:jc w:val="both"/>
        <w:ind w:left="222" w:right="20" w:hanging="222"/>
        <w:spacing w:after="0" w:line="252" w:lineRule="auto"/>
        <w:tabs>
          <w:tab w:leader="none" w:pos="19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Amounts shown in this column represent the grant date fair value, calculated in accordance with FASB ASC Topic 718, of the following grants of time-based restricted stock units granted to our non-employee directors under the Outside Director Compensation Policy: (i) for Mr. van Paasschen and Ms. Sears, an annual director grant of 12,517 restricted stock units on June 7, 2023; (ii) for Mr. Hyatt, an annual director grant of 12,517 restricted stock units on June 7, 2023, which units were forfeited on April 23, 2024; (iii) for Ms. Frymire and Mr. Aggarwal, a prorated annual director grant of 10,431 and 9,388 restricted stock units on June 7, 2023, respectively; (iv) for Mr. Banker, an initial director grant of 12,598 restricted stock units on January 3, 2023 and a prorated annual director grant of 6,258 restricted stock units on June 7, 2023; (v) for Mr. Turner, an initial director grant of 26,622 restricted stock units on October 1, 2023; (vi) for Ms. Perez-Alvarado, an annual director grant of 12,517 restricted stock units on June 7, 2023, which units were forfeited in September 2023 upon her resignation from the Board; and (vii) for Mr. Buoy, an initial director grant of 26,622 restricted stock units on October 1, 2023, which were forfeited in December 2023 upon his resignation from the Board. For further information, see the section above titled “Director Compensation — Equity Compensation”. See Note 11, </w:t>
      </w:r>
      <w:r>
        <w:rPr>
          <w:rFonts w:ascii="Times New Roman" w:cs="Times New Roman" w:eastAsia="Times New Roman" w:hAnsi="Times New Roman"/>
          <w:sz w:val="13"/>
          <w:szCs w:val="13"/>
          <w:i w:val="1"/>
          <w:iCs w:val="1"/>
          <w:color w:val="auto"/>
        </w:rPr>
        <w:t>Equity Incentive Plans and Stock-Based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Compensation, </w:t>
      </w:r>
      <w:r>
        <w:rPr>
          <w:rFonts w:ascii="Times New Roman" w:cs="Times New Roman" w:eastAsia="Times New Roman" w:hAnsi="Times New Roman"/>
          <w:sz w:val="13"/>
          <w:szCs w:val="13"/>
          <w:color w:val="auto"/>
        </w:rPr>
        <w:t>to the Consolidated Financial Statements included within Part II, Item 8 of this Annual Report on Form 10-K for additional information regarding the assumptions used in the valuation of these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awards.</w:t>
      </w:r>
    </w:p>
    <w:p>
      <w:pPr>
        <w:ind w:left="182" w:hanging="182"/>
        <w:spacing w:after="0"/>
        <w:tabs>
          <w:tab w:leader="none" w:pos="182"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current non-employee director had the following number of stock awards and/or options outstanding as of December 31, 2023:</w:t>
      </w:r>
    </w:p>
    <w:p>
      <w:pPr>
        <w:spacing w:after="0" w:line="200" w:lineRule="exact"/>
        <w:rPr>
          <w:sz w:val="20"/>
          <w:szCs w:val="20"/>
          <w:color w:val="auto"/>
        </w:rPr>
      </w:pPr>
    </w:p>
    <w:p>
      <w:pPr>
        <w:spacing w:after="0" w:line="33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87" w:name="page188"/>
    <w:bookmarkEnd w:id="187"/>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 w:type="dxa"/>
        <w:tblCellMar>
          <w:top w:w="0" w:type="dxa"/>
          <w:left w:w="0" w:type="dxa"/>
          <w:bottom w:w="0" w:type="dxa"/>
          <w:right w:w="0" w:type="dxa"/>
        </w:tblCellMar>
      </w:tblPr>
      <w:tr>
        <w:trPr>
          <w:trHeight w:val="253"/>
        </w:trPr>
        <w:tc>
          <w:tcPr>
            <w:tcW w:w="8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60" w:type="dxa"/>
            <w:vAlign w:val="bottom"/>
            <w:tcBorders>
              <w:bottom w:val="single" w:sz="8" w:color="auto"/>
            </w:tcBorders>
          </w:tcPr>
          <w:p>
            <w:pPr>
              <w:jc w:val="center"/>
              <w:ind w:left="998"/>
              <w:spacing w:after="0"/>
              <w:rPr>
                <w:sz w:val="20"/>
                <w:szCs w:val="20"/>
                <w:color w:val="auto"/>
              </w:rPr>
            </w:pPr>
            <w:r>
              <w:rPr>
                <w:rFonts w:ascii="Times New Roman" w:cs="Times New Roman" w:eastAsia="Times New Roman" w:hAnsi="Times New Roman"/>
                <w:sz w:val="16"/>
                <w:szCs w:val="16"/>
                <w:b w:val="1"/>
                <w:bCs w:val="1"/>
                <w:color w:val="auto"/>
              </w:rPr>
              <w:t>Unvested Restricted Stock Units</w:t>
            </w:r>
          </w:p>
        </w:tc>
        <w:tc>
          <w:tcPr>
            <w:tcW w:w="2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Outstanding Option Awards</w:t>
            </w:r>
          </w:p>
        </w:tc>
      </w:tr>
      <w:tr>
        <w:trPr>
          <w:trHeight w:val="230"/>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shd w:val="clear" w:color="auto" w:fill="CCEEFF"/>
              </w:rPr>
              <w:t>Nabeel Hyatt</w:t>
            </w:r>
          </w:p>
        </w:tc>
        <w:tc>
          <w:tcPr>
            <w:tcW w:w="360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jc w:val="center"/>
              <w:ind w:left="998"/>
              <w:spacing w:after="0"/>
              <w:rPr>
                <w:sz w:val="20"/>
                <w:szCs w:val="20"/>
                <w:color w:val="auto"/>
              </w:rPr>
            </w:pPr>
            <w:r>
              <w:rPr>
                <w:rFonts w:ascii="Times New Roman" w:cs="Times New Roman" w:eastAsia="Times New Roman" w:hAnsi="Times New Roman"/>
                <w:sz w:val="16"/>
                <w:szCs w:val="16"/>
                <w:color w:val="auto"/>
                <w:w w:val="99"/>
              </w:rPr>
              <w:t>12,517</w:t>
            </w:r>
          </w:p>
        </w:tc>
        <w:tc>
          <w:tcPr>
            <w:tcW w:w="2780" w:type="dxa"/>
            <w:vAlign w:val="bottom"/>
            <w:tcBorders>
              <w:bottom w:val="single" w:sz="8" w:color="CCEEFF"/>
            </w:tcBorders>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Frits Dirk van Paasschen</w:t>
            </w:r>
          </w:p>
        </w:tc>
        <w:tc>
          <w:tcPr>
            <w:tcW w:w="3960" w:type="dxa"/>
            <w:vAlign w:val="bottom"/>
          </w:tcPr>
          <w:p>
            <w:pPr>
              <w:jc w:val="center"/>
              <w:ind w:left="998"/>
              <w:spacing w:after="0"/>
              <w:rPr>
                <w:sz w:val="20"/>
                <w:szCs w:val="20"/>
                <w:color w:val="auto"/>
              </w:rPr>
            </w:pPr>
            <w:r>
              <w:rPr>
                <w:rFonts w:ascii="Times New Roman" w:cs="Times New Roman" w:eastAsia="Times New Roman" w:hAnsi="Times New Roman"/>
                <w:sz w:val="16"/>
                <w:szCs w:val="16"/>
                <w:color w:val="auto"/>
                <w:w w:val="99"/>
              </w:rPr>
              <w:t>12,517</w:t>
            </w:r>
          </w:p>
        </w:tc>
        <w:tc>
          <w:tcPr>
            <w:tcW w:w="278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10,424</w:t>
            </w:r>
          </w:p>
        </w:tc>
      </w:tr>
      <w:tr>
        <w:trPr>
          <w:trHeight w:val="38"/>
        </w:trPr>
        <w:tc>
          <w:tcPr>
            <w:tcW w:w="8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780" w:type="dxa"/>
            <w:vAlign w:val="bottom"/>
          </w:tcPr>
          <w:p>
            <w:pPr>
              <w:spacing w:after="0"/>
              <w:rPr>
                <w:sz w:val="3"/>
                <w:szCs w:val="3"/>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Janice Sears</w:t>
            </w:r>
          </w:p>
        </w:tc>
        <w:tc>
          <w:tcPr>
            <w:tcW w:w="3960" w:type="dxa"/>
            <w:vAlign w:val="bottom"/>
            <w:tcBorders>
              <w:bottom w:val="single" w:sz="8" w:color="CCEEFF"/>
            </w:tcBorders>
            <w:shd w:val="clear" w:color="auto" w:fill="CCEEFF"/>
          </w:tcPr>
          <w:p>
            <w:pPr>
              <w:jc w:val="center"/>
              <w:ind w:left="998"/>
              <w:spacing w:after="0"/>
              <w:rPr>
                <w:sz w:val="20"/>
                <w:szCs w:val="20"/>
                <w:color w:val="auto"/>
              </w:rPr>
            </w:pPr>
            <w:r>
              <w:rPr>
                <w:rFonts w:ascii="Times New Roman" w:cs="Times New Roman" w:eastAsia="Times New Roman" w:hAnsi="Times New Roman"/>
                <w:sz w:val="16"/>
                <w:szCs w:val="16"/>
                <w:color w:val="auto"/>
                <w:w w:val="99"/>
              </w:rPr>
              <w:t>13,104</w:t>
            </w:r>
          </w:p>
        </w:tc>
        <w:tc>
          <w:tcPr>
            <w:tcW w:w="2780" w:type="dxa"/>
            <w:vAlign w:val="bottom"/>
            <w:tcBorders>
              <w:bottom w:val="single" w:sz="8" w:color="CCEEFF"/>
            </w:tcBorders>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Michelle Frymire</w:t>
            </w:r>
          </w:p>
        </w:tc>
        <w:tc>
          <w:tcPr>
            <w:tcW w:w="3960" w:type="dxa"/>
            <w:vAlign w:val="bottom"/>
          </w:tcPr>
          <w:p>
            <w:pPr>
              <w:jc w:val="center"/>
              <w:ind w:left="998"/>
              <w:spacing w:after="0"/>
              <w:rPr>
                <w:sz w:val="20"/>
                <w:szCs w:val="20"/>
                <w:color w:val="auto"/>
              </w:rPr>
            </w:pPr>
            <w:r>
              <w:rPr>
                <w:rFonts w:ascii="Times New Roman" w:cs="Times New Roman" w:eastAsia="Times New Roman" w:hAnsi="Times New Roman"/>
                <w:sz w:val="16"/>
                <w:szCs w:val="16"/>
                <w:color w:val="auto"/>
                <w:w w:val="99"/>
              </w:rPr>
              <w:t>15,193</w:t>
            </w:r>
          </w:p>
        </w:tc>
        <w:tc>
          <w:tcPr>
            <w:tcW w:w="278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w:t>
            </w:r>
          </w:p>
        </w:tc>
      </w:tr>
      <w:tr>
        <w:trPr>
          <w:trHeight w:val="38"/>
        </w:trPr>
        <w:tc>
          <w:tcPr>
            <w:tcW w:w="8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780" w:type="dxa"/>
            <w:vAlign w:val="bottom"/>
          </w:tcPr>
          <w:p>
            <w:pPr>
              <w:spacing w:after="0"/>
              <w:rPr>
                <w:sz w:val="3"/>
                <w:szCs w:val="3"/>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Prashant (Sean) Aggarwal</w:t>
            </w:r>
          </w:p>
        </w:tc>
        <w:tc>
          <w:tcPr>
            <w:tcW w:w="3960" w:type="dxa"/>
            <w:vAlign w:val="bottom"/>
            <w:tcBorders>
              <w:bottom w:val="single" w:sz="8" w:color="CCEEFF"/>
            </w:tcBorders>
            <w:shd w:val="clear" w:color="auto" w:fill="CCEEFF"/>
          </w:tcPr>
          <w:p>
            <w:pPr>
              <w:jc w:val="center"/>
              <w:ind w:left="998"/>
              <w:spacing w:after="0"/>
              <w:rPr>
                <w:sz w:val="20"/>
                <w:szCs w:val="20"/>
                <w:color w:val="auto"/>
              </w:rPr>
            </w:pPr>
            <w:r>
              <w:rPr>
                <w:rFonts w:ascii="Times New Roman" w:cs="Times New Roman" w:eastAsia="Times New Roman" w:hAnsi="Times New Roman"/>
                <w:sz w:val="16"/>
                <w:szCs w:val="16"/>
                <w:color w:val="auto"/>
                <w:w w:val="99"/>
              </w:rPr>
              <w:t>15,031</w:t>
            </w:r>
          </w:p>
        </w:tc>
        <w:tc>
          <w:tcPr>
            <w:tcW w:w="2780" w:type="dxa"/>
            <w:vAlign w:val="bottom"/>
            <w:tcBorders>
              <w:bottom w:val="single" w:sz="8" w:color="CCEEFF"/>
            </w:tcBorders>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Sanjay Banker</w:t>
            </w:r>
          </w:p>
        </w:tc>
        <w:tc>
          <w:tcPr>
            <w:tcW w:w="3960" w:type="dxa"/>
            <w:vAlign w:val="bottom"/>
          </w:tcPr>
          <w:p>
            <w:pPr>
              <w:jc w:val="center"/>
              <w:ind w:left="998"/>
              <w:spacing w:after="0"/>
              <w:rPr>
                <w:sz w:val="20"/>
                <w:szCs w:val="20"/>
                <w:color w:val="auto"/>
              </w:rPr>
            </w:pPr>
            <w:r>
              <w:rPr>
                <w:rFonts w:ascii="Times New Roman" w:cs="Times New Roman" w:eastAsia="Times New Roman" w:hAnsi="Times New Roman"/>
                <w:sz w:val="16"/>
                <w:szCs w:val="16"/>
                <w:color w:val="auto"/>
                <w:w w:val="99"/>
              </w:rPr>
              <w:t>18,856</w:t>
            </w:r>
          </w:p>
        </w:tc>
        <w:tc>
          <w:tcPr>
            <w:tcW w:w="2780" w:type="dxa"/>
            <w:vAlign w:val="bottom"/>
          </w:tcPr>
          <w:p>
            <w:pPr>
              <w:jc w:val="center"/>
              <w:ind w:right="98"/>
              <w:spacing w:after="0"/>
              <w:rPr>
                <w:sz w:val="20"/>
                <w:szCs w:val="20"/>
                <w:color w:val="auto"/>
              </w:rPr>
            </w:pPr>
            <w:r>
              <w:rPr>
                <w:rFonts w:ascii="Times New Roman" w:cs="Times New Roman" w:eastAsia="Times New Roman" w:hAnsi="Times New Roman"/>
                <w:sz w:val="16"/>
                <w:szCs w:val="16"/>
                <w:color w:val="auto"/>
                <w:w w:val="99"/>
              </w:rPr>
              <w:t>182,266</w:t>
            </w:r>
          </w:p>
        </w:tc>
      </w:tr>
      <w:tr>
        <w:trPr>
          <w:trHeight w:val="38"/>
        </w:trPr>
        <w:tc>
          <w:tcPr>
            <w:tcW w:w="8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780" w:type="dxa"/>
            <w:vAlign w:val="bottom"/>
          </w:tcPr>
          <w:p>
            <w:pPr>
              <w:spacing w:after="0"/>
              <w:rPr>
                <w:sz w:val="3"/>
                <w:szCs w:val="3"/>
                <w:color w:val="auto"/>
              </w:rPr>
            </w:pPr>
          </w:p>
        </w:tc>
      </w:tr>
      <w:tr>
        <w:trPr>
          <w:trHeight w:val="21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Simon Turner</w:t>
            </w:r>
          </w:p>
        </w:tc>
        <w:tc>
          <w:tcPr>
            <w:tcW w:w="3960" w:type="dxa"/>
            <w:vAlign w:val="bottom"/>
            <w:shd w:val="clear" w:color="auto" w:fill="CCEEFF"/>
          </w:tcPr>
          <w:p>
            <w:pPr>
              <w:jc w:val="center"/>
              <w:ind w:left="998"/>
              <w:spacing w:after="0"/>
              <w:rPr>
                <w:sz w:val="20"/>
                <w:szCs w:val="20"/>
                <w:color w:val="auto"/>
              </w:rPr>
            </w:pPr>
            <w:r>
              <w:rPr>
                <w:rFonts w:ascii="Times New Roman" w:cs="Times New Roman" w:eastAsia="Times New Roman" w:hAnsi="Times New Roman"/>
                <w:sz w:val="16"/>
                <w:szCs w:val="16"/>
                <w:color w:val="auto"/>
                <w:w w:val="99"/>
              </w:rPr>
              <w:t>26,622</w:t>
            </w:r>
          </w:p>
        </w:tc>
        <w:tc>
          <w:tcPr>
            <w:tcW w:w="278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6"/>
                <w:szCs w:val="16"/>
                <w:color w:val="auto"/>
                <w:w w:val="99"/>
              </w:rPr>
              <w:t>—</w:t>
            </w:r>
          </w:p>
        </w:tc>
      </w:tr>
      <w:tr>
        <w:trPr>
          <w:trHeight w:val="38"/>
        </w:trPr>
        <w:tc>
          <w:tcPr>
            <w:tcW w:w="88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r>
    </w:tbl>
    <w:p>
      <w:pPr>
        <w:spacing w:after="0" w:line="286" w:lineRule="exact"/>
        <w:rPr>
          <w:sz w:val="20"/>
          <w:szCs w:val="20"/>
          <w:color w:val="auto"/>
        </w:rPr>
      </w:pPr>
    </w:p>
    <w:p>
      <w:pPr>
        <w:ind w:left="182" w:hanging="182"/>
        <w:spacing w:after="0"/>
        <w:tabs>
          <w:tab w:leader="none" w:pos="18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van Paasschen resigned as lead independent director and Ms. Sears was appointed as the new lead independent director on December 8, 2023.</w:t>
      </w:r>
    </w:p>
    <w:p>
      <w:pPr>
        <w:spacing w:after="0" w:line="11"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Perez-Alvarado resigned from the Board effective September 30, 2023. Ms. Perez-Alvarado forfeited her annual director grant of 12,517 restricted stock units upon her resignation from the Board.</w:t>
      </w:r>
    </w:p>
    <w:p>
      <w:pPr>
        <w:spacing w:after="0" w:line="4" w:lineRule="exact"/>
        <w:rPr>
          <w:rFonts w:ascii="Times New Roman" w:cs="Times New Roman" w:eastAsia="Times New Roman" w:hAnsi="Times New Roman"/>
          <w:sz w:val="13"/>
          <w:szCs w:val="13"/>
          <w:color w:val="auto"/>
        </w:rPr>
      </w:pPr>
    </w:p>
    <w:p>
      <w:pPr>
        <w:jc w:val="both"/>
        <w:ind w:left="222" w:hanging="222"/>
        <w:spacing w:after="0" w:line="255" w:lineRule="auto"/>
        <w:tabs>
          <w:tab w:leader="none" w:pos="18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Banker served as the Company’s President and Chief Financial Officer until December 31, 2022 and joined the Board effective January 1, 2023. Amount reflected consists of: (i) $473,680 paid to Mr. Banker in 2023 pursuant to an agreement by and between Mr. Banker and an U.S. subsidiary of the Company, dated October 15, 2022, in connection with his transition from the Company’s President and Chief Financial Officer to a member of the Board and a Senior Advisor;(ii) a $21,133.80 lump sum COBRA payment; and (iii) a $14,553 lump sum tax gross up in connection with the COBRA payment.</w:t>
      </w:r>
    </w:p>
    <w:p>
      <w:pPr>
        <w:spacing w:after="0" w:line="1"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Turner was elected as non-employee director on October 1, 2023.</w:t>
      </w:r>
    </w:p>
    <w:p>
      <w:pPr>
        <w:spacing w:after="0" w:line="2"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Buoy was elected as non-employee director on October 1, 2023 and resigned from the Board effective December 11, 2023 in connection with his appointment as our Chief Commercial Officer.</w:t>
      </w:r>
    </w:p>
    <w:p>
      <w:pPr>
        <w:spacing w:after="0" w:line="2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3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Security Ownership of Certain Beneficial Owners and Management</w:t>
      </w:r>
    </w:p>
    <w:p>
      <w:pPr>
        <w:spacing w:after="0" w:line="2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tables set forth certain information known to us regarding beneficial ownership of our voting securities as of September 16, 2024 by:</w:t>
      </w:r>
    </w:p>
    <w:p>
      <w:pPr>
        <w:spacing w:after="0" w:line="232" w:lineRule="exact"/>
        <w:rPr>
          <w:sz w:val="20"/>
          <w:szCs w:val="20"/>
          <w:color w:val="auto"/>
        </w:rPr>
      </w:pPr>
    </w:p>
    <w:p>
      <w:pPr>
        <w:ind w:left="682" w:hanging="94"/>
        <w:spacing w:after="0"/>
        <w:tabs>
          <w:tab w:leader="none" w:pos="6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by us to be the beneficial owner of more than 5% of any class of our voting securities;</w:t>
      </w:r>
    </w:p>
    <w:p>
      <w:pPr>
        <w:spacing w:after="0" w:line="27" w:lineRule="exact"/>
        <w:rPr>
          <w:rFonts w:ascii="Times New Roman" w:cs="Times New Roman" w:eastAsia="Times New Roman" w:hAnsi="Times New Roman"/>
          <w:sz w:val="16"/>
          <w:szCs w:val="16"/>
          <w:color w:val="auto"/>
        </w:rPr>
      </w:pPr>
    </w:p>
    <w:p>
      <w:pPr>
        <w:ind w:left="682" w:hanging="94"/>
        <w:spacing w:after="0"/>
        <w:tabs>
          <w:tab w:leader="none" w:pos="6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w:t>
      </w:r>
    </w:p>
    <w:p>
      <w:pPr>
        <w:spacing w:after="0" w:line="11" w:lineRule="exact"/>
        <w:rPr>
          <w:rFonts w:ascii="Times New Roman" w:cs="Times New Roman" w:eastAsia="Times New Roman" w:hAnsi="Times New Roman"/>
          <w:sz w:val="16"/>
          <w:szCs w:val="16"/>
          <w:color w:val="auto"/>
        </w:rPr>
      </w:pPr>
    </w:p>
    <w:p>
      <w:pPr>
        <w:ind w:left="682" w:hanging="94"/>
        <w:spacing w:after="0"/>
        <w:tabs>
          <w:tab w:leader="none" w:pos="6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w:t>
      </w:r>
    </w:p>
    <w:p>
      <w:pPr>
        <w:spacing w:after="0" w:line="11" w:lineRule="exact"/>
        <w:rPr>
          <w:rFonts w:ascii="Times New Roman" w:cs="Times New Roman" w:eastAsia="Times New Roman" w:hAnsi="Times New Roman"/>
          <w:sz w:val="16"/>
          <w:szCs w:val="16"/>
          <w:color w:val="auto"/>
        </w:rPr>
      </w:pPr>
    </w:p>
    <w:p>
      <w:pPr>
        <w:ind w:left="682" w:hanging="94"/>
        <w:spacing w:after="0"/>
        <w:tabs>
          <w:tab w:leader="none" w:pos="68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executive officers and directors as a group.</w:t>
      </w:r>
    </w:p>
    <w:p>
      <w:pPr>
        <w:spacing w:after="0" w:line="217" w:lineRule="exact"/>
        <w:rPr>
          <w:sz w:val="20"/>
          <w:szCs w:val="20"/>
          <w:color w:val="auto"/>
        </w:rPr>
      </w:pPr>
    </w:p>
    <w:p>
      <w:pPr>
        <w:jc w:val="both"/>
        <w:ind w:left="2"/>
        <w:spacing w:after="0" w:line="291" w:lineRule="auto"/>
        <w:rPr>
          <w:sz w:val="20"/>
          <w:szCs w:val="20"/>
          <w:color w:val="auto"/>
        </w:rPr>
      </w:pPr>
      <w:r>
        <w:rPr>
          <w:rFonts w:ascii="Times New Roman" w:cs="Times New Roman" w:eastAsia="Times New Roman" w:hAnsi="Times New Roman"/>
          <w:sz w:val="16"/>
          <w:szCs w:val="16"/>
          <w:color w:val="auto"/>
        </w:rPr>
        <w:t>Beneficial ownership is determined according to the rules of the SEC, which generally provide that a person has beneficial ownership of a security if they possess the sole or shared voting or investment power over that security, including options and warrants that are currently exercisable or exercisable within 60 days of September 16, 2024.</w:t>
      </w:r>
    </w:p>
    <w:p>
      <w:pPr>
        <w:spacing w:after="0" w:line="166"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Percentage ownership of our voting securities is based on 11,585,625 shares of our common stock issued and outstanding as of September 16, 2024, assumes that none of the up to 725,000 shares of common stock in potential Earn Out Shares (as defined below) will be earned within 60 days of September 16, 2024 and are therefore excluded, and is adjusted for the Reverse Stock Split. In connection with the Business Combination, holders of Legacy Sonder’s common stock and certain other securityholders are entitled to receive their pro rata share of up to an aggregate of 725,000 additional shares of our common stock (after adjusting for the Reverse Stock Split, referred to as the “Earn Out Shares”) as consideration, if our common stock achieves certain benchmark share prices (each achievement of such a benchmark being referred to as a “Triggering Event”) as contemplated by the Agreement and Plan of Merger for the Business Combination (the “Merger Agreement”). If no Triggering Event occurs prior to July 17, 2027, no Earn Out Shares will be issued.</w:t>
      </w:r>
    </w:p>
    <w:p>
      <w:pPr>
        <w:spacing w:after="0" w:line="191"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Unless otherwise indicated, we believe that all persons named in the table below have sole voting and investment power with respect to all of the securities beneficially owned by them. To our knowledge, no shares beneficially owned by any executive officer or director have been pledged as security, other than certain shares of Sonder Canada Inc. (which are exchangeable into shares of common stock) held by our CEO that are pledged to the Canada Revenue</w:t>
      </w:r>
    </w:p>
    <w:p>
      <w:pPr>
        <w:spacing w:after="0" w:line="180" w:lineRule="exact"/>
        <w:rPr>
          <w:sz w:val="20"/>
          <w:szCs w:val="20"/>
          <w:color w:val="auto"/>
        </w:rPr>
      </w:pPr>
    </w:p>
    <w:p>
      <w:pPr>
        <w:ind w:left="2" w:right="3520"/>
        <w:spacing w:after="0" w:line="291" w:lineRule="auto"/>
        <w:rPr>
          <w:sz w:val="20"/>
          <w:szCs w:val="20"/>
          <w:color w:val="auto"/>
        </w:rPr>
      </w:pPr>
      <w:r>
        <w:rPr>
          <w:rFonts w:ascii="Times New Roman" w:cs="Times New Roman" w:eastAsia="Times New Roman" w:hAnsi="Times New Roman"/>
          <w:sz w:val="16"/>
          <w:szCs w:val="16"/>
          <w:color w:val="auto"/>
        </w:rPr>
        <w:t>Agency as a security for payment of tax obligations. Unless otherwise indicated, the mailing address of each of person below is c/o Sonder Holdings Inc., 447 Sutter Street Suite 405 #542, San Francisco, CA 94108.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88" w:name="page189"/>
    <w:bookmarkEnd w:id="188"/>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Principal Stockholders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and Nature of Beneficial</w:t>
            </w: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2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2600" w:type="dxa"/>
            <w:vAlign w:val="bottom"/>
            <w:gridSpan w:val="2"/>
            <w:vMerge w:val="continue"/>
          </w:tcPr>
          <w:p>
            <w:pPr>
              <w:spacing w:after="0"/>
              <w:rPr>
                <w:sz w:val="22"/>
                <w:szCs w:val="22"/>
                <w:color w:val="auto"/>
              </w:rPr>
            </w:pPr>
          </w:p>
        </w:tc>
        <w:tc>
          <w:tcPr>
            <w:tcW w:w="23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Percentage of Common Stock</w:t>
            </w:r>
          </w:p>
        </w:tc>
        <w:tc>
          <w:tcPr>
            <w:tcW w:w="0" w:type="dxa"/>
            <w:vAlign w:val="bottom"/>
          </w:tcPr>
          <w:p>
            <w:pPr>
              <w:spacing w:after="0"/>
              <w:rPr>
                <w:sz w:val="1"/>
                <w:szCs w:val="1"/>
                <w:color w:val="auto"/>
              </w:rPr>
            </w:pPr>
          </w:p>
        </w:tc>
      </w:tr>
      <w:tr>
        <w:trPr>
          <w:trHeight w:val="215"/>
        </w:trPr>
        <w:tc>
          <w:tcPr>
            <w:tcW w:w="6280" w:type="dxa"/>
            <w:vAlign w:val="bottom"/>
            <w:gridSpan w:val="4"/>
            <w:vMerge w:val="continue"/>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Entities affiliated with Atreides</w:t>
            </w:r>
            <w:r>
              <w:rPr>
                <w:rFonts w:ascii="Times New Roman" w:cs="Times New Roman" w:eastAsia="Times New Roman" w:hAnsi="Times New Roman"/>
                <w:sz w:val="21"/>
                <w:szCs w:val="21"/>
                <w:color w:val="auto"/>
                <w:vertAlign w:val="superscript"/>
              </w:rPr>
              <w:t>(1)</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1,841,918</w:t>
            </w:r>
          </w:p>
        </w:tc>
        <w:tc>
          <w:tcPr>
            <w:tcW w:w="100" w:type="dxa"/>
            <w:vAlign w:val="bottom"/>
          </w:tcPr>
          <w:p>
            <w:pPr>
              <w:spacing w:after="0"/>
              <w:rPr>
                <w:sz w:val="22"/>
                <w:szCs w:val="22"/>
                <w:color w:val="auto"/>
              </w:rPr>
            </w:pPr>
          </w:p>
        </w:tc>
        <w:tc>
          <w:tcPr>
            <w:tcW w:w="230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57"/>
        </w:trPr>
        <w:tc>
          <w:tcPr>
            <w:tcW w:w="6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Spark Capital</w:t>
            </w:r>
            <w:r>
              <w:rPr>
                <w:rFonts w:ascii="Times New Roman" w:cs="Times New Roman" w:eastAsia="Times New Roman" w:hAnsi="Times New Roman"/>
                <w:sz w:val="21"/>
                <w:szCs w:val="21"/>
                <w:color w:val="auto"/>
                <w:vertAlign w:val="superscript"/>
              </w:rPr>
              <w:t>(2)</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733,927</w:t>
            </w:r>
          </w:p>
        </w:tc>
        <w:tc>
          <w:tcPr>
            <w:tcW w:w="10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iNovia Growth Capital Inc.</w:t>
            </w:r>
            <w:r>
              <w:rPr>
                <w:rFonts w:ascii="Times New Roman" w:cs="Times New Roman" w:eastAsia="Times New Roman" w:hAnsi="Times New Roman"/>
                <w:sz w:val="21"/>
                <w:szCs w:val="21"/>
                <w:color w:val="auto"/>
                <w:vertAlign w:val="superscript"/>
              </w:rPr>
              <w:t>(3)</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630,946</w:t>
            </w:r>
          </w:p>
        </w:tc>
        <w:tc>
          <w:tcPr>
            <w:tcW w:w="100" w:type="dxa"/>
            <w:vAlign w:val="bottom"/>
          </w:tcPr>
          <w:p>
            <w:pPr>
              <w:spacing w:after="0"/>
              <w:rPr>
                <w:sz w:val="22"/>
                <w:szCs w:val="22"/>
                <w:color w:val="auto"/>
              </w:rPr>
            </w:pPr>
          </w:p>
        </w:tc>
        <w:tc>
          <w:tcPr>
            <w:tcW w:w="230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Francis Davidson</w:t>
            </w:r>
            <w:r>
              <w:rPr>
                <w:rFonts w:ascii="Times New Roman" w:cs="Times New Roman" w:eastAsia="Times New Roman" w:hAnsi="Times New Roman"/>
                <w:sz w:val="21"/>
                <w:szCs w:val="21"/>
                <w:color w:val="auto"/>
                <w:vertAlign w:val="superscript"/>
              </w:rPr>
              <w:t>(4)</w:t>
            </w:r>
          </w:p>
        </w:tc>
        <w:tc>
          <w:tcPr>
            <w:tcW w:w="80" w:type="dxa"/>
            <w:vAlign w:val="bottom"/>
          </w:tcPr>
          <w:p>
            <w:pPr>
              <w:spacing w:after="0"/>
              <w:rPr>
                <w:sz w:val="21"/>
                <w:szCs w:val="21"/>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626,078</w:t>
            </w:r>
          </w:p>
        </w:tc>
        <w:tc>
          <w:tcPr>
            <w:tcW w:w="100" w:type="dxa"/>
            <w:vAlign w:val="bottom"/>
          </w:tcPr>
          <w:p>
            <w:pPr>
              <w:spacing w:after="0"/>
              <w:rPr>
                <w:sz w:val="21"/>
                <w:szCs w:val="21"/>
                <w:color w:val="auto"/>
              </w:rPr>
            </w:pPr>
          </w:p>
        </w:tc>
        <w:tc>
          <w:tcPr>
            <w:tcW w:w="2300" w:type="dxa"/>
            <w:vAlign w:val="bottom"/>
            <w:tcBorders>
              <w:top w:val="single" w:sz="8" w:color="auto"/>
            </w:tcBorders>
          </w:tcPr>
          <w:p>
            <w:pPr>
              <w:jc w:val="right"/>
              <w:ind w:right="898"/>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57"/>
        </w:trPr>
        <w:tc>
          <w:tcPr>
            <w:tcW w:w="6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Dominique Bourgault</w:t>
            </w:r>
            <w:r>
              <w:rPr>
                <w:rFonts w:ascii="Times New Roman" w:cs="Times New Roman" w:eastAsia="Times New Roman" w:hAnsi="Times New Roman"/>
                <w:sz w:val="21"/>
                <w:szCs w:val="21"/>
                <w:color w:val="auto"/>
                <w:vertAlign w:val="superscript"/>
              </w:rPr>
              <w:t>(5)</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63,925</w:t>
            </w:r>
          </w:p>
        </w:tc>
        <w:tc>
          <w:tcPr>
            <w:tcW w:w="10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Martin Picard</w:t>
            </w:r>
            <w:r>
              <w:rPr>
                <w:rFonts w:ascii="Times New Roman" w:cs="Times New Roman" w:eastAsia="Times New Roman" w:hAnsi="Times New Roman"/>
                <w:sz w:val="21"/>
                <w:szCs w:val="21"/>
                <w:color w:val="auto"/>
                <w:vertAlign w:val="superscript"/>
              </w:rPr>
              <w:t>(6)</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101,171</w:t>
            </w:r>
          </w:p>
        </w:tc>
        <w:tc>
          <w:tcPr>
            <w:tcW w:w="100" w:type="dxa"/>
            <w:vAlign w:val="bottom"/>
          </w:tcPr>
          <w:p>
            <w:pPr>
              <w:spacing w:after="0"/>
              <w:rPr>
                <w:sz w:val="22"/>
                <w:szCs w:val="22"/>
                <w:color w:val="auto"/>
              </w:rPr>
            </w:pPr>
          </w:p>
        </w:tc>
        <w:tc>
          <w:tcPr>
            <w:tcW w:w="230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Nabeel Hyatt</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Frits Dirk van Paasschen</w:t>
            </w:r>
            <w:r>
              <w:rPr>
                <w:rFonts w:ascii="Times New Roman" w:cs="Times New Roman" w:eastAsia="Times New Roman" w:hAnsi="Times New Roman"/>
                <w:sz w:val="21"/>
                <w:szCs w:val="21"/>
                <w:color w:val="auto"/>
                <w:vertAlign w:val="superscript"/>
              </w:rPr>
              <w:t>(7)</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30,809</w:t>
            </w:r>
          </w:p>
        </w:tc>
        <w:tc>
          <w:tcPr>
            <w:tcW w:w="100" w:type="dxa"/>
            <w:vAlign w:val="bottom"/>
          </w:tcPr>
          <w:p>
            <w:pPr>
              <w:spacing w:after="0"/>
              <w:rPr>
                <w:sz w:val="22"/>
                <w:szCs w:val="22"/>
                <w:color w:val="auto"/>
              </w:rPr>
            </w:pPr>
          </w:p>
        </w:tc>
        <w:tc>
          <w:tcPr>
            <w:tcW w:w="230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Janice Sears</w:t>
            </w:r>
            <w:r>
              <w:rPr>
                <w:rFonts w:ascii="Times New Roman" w:cs="Times New Roman" w:eastAsia="Times New Roman" w:hAnsi="Times New Roman"/>
                <w:sz w:val="21"/>
                <w:szCs w:val="21"/>
                <w:color w:val="auto"/>
                <w:vertAlign w:val="superscript"/>
              </w:rPr>
              <w:t>(8)</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18,650</w:t>
            </w:r>
          </w:p>
        </w:tc>
        <w:tc>
          <w:tcPr>
            <w:tcW w:w="10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Michelle Frymire</w:t>
            </w:r>
            <w:r>
              <w:rPr>
                <w:rFonts w:ascii="Times New Roman" w:cs="Times New Roman" w:eastAsia="Times New Roman" w:hAnsi="Times New Roman"/>
                <w:sz w:val="21"/>
                <w:szCs w:val="21"/>
                <w:color w:val="auto"/>
                <w:vertAlign w:val="superscript"/>
              </w:rPr>
              <w:t>(9)</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15,192</w:t>
            </w:r>
          </w:p>
        </w:tc>
        <w:tc>
          <w:tcPr>
            <w:tcW w:w="100" w:type="dxa"/>
            <w:vAlign w:val="bottom"/>
          </w:tcPr>
          <w:p>
            <w:pPr>
              <w:spacing w:after="0"/>
              <w:rPr>
                <w:sz w:val="22"/>
                <w:szCs w:val="22"/>
                <w:color w:val="auto"/>
              </w:rPr>
            </w:pPr>
          </w:p>
        </w:tc>
        <w:tc>
          <w:tcPr>
            <w:tcW w:w="2300" w:type="dxa"/>
            <w:vAlign w:val="bottom"/>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Prashant (Sean) Aggarwal</w:t>
            </w:r>
            <w:r>
              <w:rPr>
                <w:rFonts w:ascii="Times New Roman" w:cs="Times New Roman" w:eastAsia="Times New Roman" w:hAnsi="Times New Roman"/>
                <w:sz w:val="21"/>
                <w:szCs w:val="21"/>
                <w:color w:val="auto"/>
                <w:vertAlign w:val="superscript"/>
              </w:rPr>
              <w:t>(10)</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15,032</w:t>
            </w:r>
          </w:p>
        </w:tc>
        <w:tc>
          <w:tcPr>
            <w:tcW w:w="10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Sanjay Banker</w:t>
            </w:r>
            <w:r>
              <w:rPr>
                <w:rFonts w:ascii="Times New Roman" w:cs="Times New Roman" w:eastAsia="Times New Roman" w:hAnsi="Times New Roman"/>
                <w:sz w:val="21"/>
                <w:szCs w:val="21"/>
                <w:color w:val="auto"/>
                <w:vertAlign w:val="superscript"/>
              </w:rPr>
              <w:t>(11)</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192,724</w:t>
            </w:r>
          </w:p>
        </w:tc>
        <w:tc>
          <w:tcPr>
            <w:tcW w:w="100" w:type="dxa"/>
            <w:vAlign w:val="bottom"/>
          </w:tcPr>
          <w:p>
            <w:pPr>
              <w:spacing w:after="0"/>
              <w:rPr>
                <w:sz w:val="22"/>
                <w:szCs w:val="22"/>
                <w:color w:val="auto"/>
              </w:rPr>
            </w:pPr>
          </w:p>
        </w:tc>
        <w:tc>
          <w:tcPr>
            <w:tcW w:w="230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57"/>
        </w:trPr>
        <w:tc>
          <w:tcPr>
            <w:tcW w:w="6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Simon Turner</w:t>
            </w:r>
            <w:r>
              <w:rPr>
                <w:rFonts w:ascii="Times New Roman" w:cs="Times New Roman" w:eastAsia="Times New Roman" w:hAnsi="Times New Roman"/>
                <w:sz w:val="21"/>
                <w:szCs w:val="21"/>
                <w:color w:val="auto"/>
                <w:vertAlign w:val="superscript"/>
              </w:rPr>
              <w:t>(12)</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8,874</w:t>
            </w:r>
          </w:p>
        </w:tc>
        <w:tc>
          <w:tcPr>
            <w:tcW w:w="100" w:type="dxa"/>
            <w:vAlign w:val="bottom"/>
            <w:shd w:val="clear" w:color="auto" w:fill="CCEEFF"/>
          </w:tcPr>
          <w:p>
            <w:pPr>
              <w:spacing w:after="0"/>
              <w:rPr>
                <w:sz w:val="22"/>
                <w:szCs w:val="22"/>
                <w:color w:val="auto"/>
              </w:rPr>
            </w:pPr>
          </w:p>
        </w:tc>
        <w:tc>
          <w:tcPr>
            <w:tcW w:w="230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All directors and executive officers as a group (12 persons)</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1,132,143</w:t>
            </w:r>
          </w:p>
        </w:tc>
        <w:tc>
          <w:tcPr>
            <w:tcW w:w="100" w:type="dxa"/>
            <w:vAlign w:val="bottom"/>
          </w:tcPr>
          <w:p>
            <w:pPr>
              <w:spacing w:after="0"/>
              <w:rPr>
                <w:sz w:val="19"/>
                <w:szCs w:val="19"/>
                <w:color w:val="auto"/>
              </w:rPr>
            </w:pPr>
          </w:p>
        </w:tc>
        <w:tc>
          <w:tcPr>
            <w:tcW w:w="2300" w:type="dxa"/>
            <w:vAlign w:val="bottom"/>
          </w:tcPr>
          <w:p>
            <w:pPr>
              <w:jc w:val="right"/>
              <w:ind w:right="898"/>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 Represents less than 1% of our outstanding common stock.</w:t>
      </w:r>
    </w:p>
    <w:p>
      <w:pPr>
        <w:spacing w:after="0" w:line="11" w:lineRule="exact"/>
        <w:rPr>
          <w:sz w:val="20"/>
          <w:szCs w:val="20"/>
          <w:color w:val="auto"/>
        </w:rPr>
      </w:pPr>
    </w:p>
    <w:p>
      <w:pPr>
        <w:jc w:val="both"/>
        <w:ind w:left="222" w:right="20" w:hanging="222"/>
        <w:spacing w:after="0" w:line="251" w:lineRule="auto"/>
        <w:tabs>
          <w:tab w:leader="none" w:pos="194"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as of December 31, 2023, and is based on information contained in the Schedule 13G/A filed with the SEC on February 14, 2024 by Atreides Management, LP, Atreides Management, LLC and Gavin Baker (as managing member of Atreides Management, LLC with respect to the shares of common stock held by Atreides Foundation Master Fund LP and certain separately managed accounts managed by Atreides Management, LP) (collectively, the “Atreides Filers”). Beneficial ownership also includes 802,297 shares of common stock issuable upon conversion of 802,297 shares of Preferred Stock held by the Atreides Filers. The shares of Preferred Stock do not have voting rights until the Company receives the Stockholder Approval. The Atreides Filers each had shared voting power and dispositive power with respect to 1,012,621 shares of common stock. The shares are held directly by Atreides Foundation Master Fund LP and certain separately managed accounts managed by Atreides Management, LP. Atreides Foundation Master Fund LP has the right to receive and/or the power to direct the receipt of dividends from, or the proceeds from the sale of, more than five percent of our common stock. The business address of the Atreides Filers is One International Place, Suite 4410, Boston, MA 02110.</w:t>
      </w:r>
    </w:p>
    <w:p>
      <w:pPr>
        <w:spacing w:after="0" w:line="2" w:lineRule="exact"/>
        <w:rPr>
          <w:rFonts w:ascii="Times New Roman" w:cs="Times New Roman" w:eastAsia="Times New Roman" w:hAnsi="Times New Roman"/>
          <w:sz w:val="13"/>
          <w:szCs w:val="13"/>
          <w:color w:val="auto"/>
        </w:rPr>
      </w:pPr>
    </w:p>
    <w:p>
      <w:pPr>
        <w:jc w:val="both"/>
        <w:ind w:left="222" w:hanging="222"/>
        <w:spacing w:after="0" w:line="252" w:lineRule="auto"/>
        <w:tabs>
          <w:tab w:leader="none" w:pos="19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as of December 31, 2023, and is based solely on information contained in the Schedule 13G/A filed with the SEC on February 6, 2024 by Spark Capital IV, L.P. (“Spark IV”), Spark Capital Founders’ Fund IV, L.P. (“Spark IV FF” and together with Spark IV, the “Spark Entities”) and Spark Management Partners IV, LLC (“Spark IV GP”). Consists of (i) 726,737 shares of common stock held of record by Spark IV and (ii) 7,190 shares of common stock held of record by Spark IV FF. Spark IV GP is the general partner of each of the Spark Entities and may be deemed to have voting, investment and dispositive power with respect to these securities. Paul Conway, Alex Finkelstein and Santo Politi are the managing members of Spark IV GP and may be deemed to share voting, investment and dispositive power with respect to these securities. Nabeel Hyatt, a member of the Board, holds an interest in Spark IV GP but does not share voting, investment or dispositive power with respect to these securities. Mr. Hyatt disclaims beneficial ownership of the shares held by the Spark Entities, except to the extent of his pecuniary interest therein. The business address of the Spark Entities is 137 Newbury St., 8th Floor, Boston, Massachusetts 02116.</w:t>
      </w:r>
    </w:p>
    <w:p>
      <w:pPr>
        <w:spacing w:after="0" w:line="3" w:lineRule="exact"/>
        <w:rPr>
          <w:rFonts w:ascii="Times New Roman" w:cs="Times New Roman" w:eastAsia="Times New Roman" w:hAnsi="Times New Roman"/>
          <w:sz w:val="13"/>
          <w:szCs w:val="13"/>
          <w:color w:val="auto"/>
        </w:rPr>
      </w:pPr>
    </w:p>
    <w:p>
      <w:pPr>
        <w:jc w:val="both"/>
        <w:ind w:left="222" w:right="20" w:hanging="222"/>
        <w:spacing w:after="0" w:line="234" w:lineRule="auto"/>
        <w:tabs>
          <w:tab w:leader="none" w:pos="187"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as of August 23, 2024, and is based solely on information contained in the Schedule 13G filed with the SEC on August 23, 2024 by iNovia Growth Capital Inc. Includes (i) 306,897 shares of common stock, of which 152,964 shares are owned directly by iNovia Growth Fund, L.P., 17,534 shares are owned directly by iNovia Growth Fund-A, L.P. and 136,399 shares are owned directly by iNovia Growth SPV - Quebec, L.P., (ii) 219,110 shares of common stock issuable upon conversion of 219,110 shares of Preferred Stock, of which 196,751 shares are owned directly by iNovia Growth Fund, L.P. and 22,359 shares are owned directly by iNovia Growth Fund-A, L.P., and (iii) 104,939 shares of common stock issuable upon the exchange of exchangeable shares (the “Exchangeable Shares”) of Sonder Canada Inc., a subsidiary of the Company, corresponding to 104,939 shares of post-combination special voting common stock, par value $0.0001 per share, of the Company, of which 95,835 shares are owned directly by iNovia Growth Fund, L.P. and 9,104 shares are owned directly by iNovia Growth Fund-A, L.P. Excludes 29,508 shares of common stock to be issued upon the achievement of certain share price targets, of which 17,826 shares, 1,909 shares and 9,773 shares will be issued to iNovia Growth Fund, L.P., iNovia Growth Fund-A, L.P. and iNovia Growth SPV - Quebec, L.P., respectively. iNovia Growth Capital Inc. is the general partner of each of iNovia Growth Fund, L.P., iNovia Growth Fund-A, L.P. and iNovia Growth SPV - Quebec, L.P., and may be deemed to share beneficial ownership of the shares of Common Stock of which each of iNovia Growth Fund, L.P., iNovia Growth Fund-A, L.P. and iNovia Growth SPV - Quebec, L.P. is the record owner. iNovia Growth Capital Inc. is the general partner of each of iNovia Growth Fund, L.P., iNovia Growth Fund-A, L.P. and iNovia Growth SPV - Quebec, L.P. In such capacities, iNovia Growth Capital Inc. may be deemed to beneficially own the securities owned directly by iNovia Growth Fund, L.P., iNovia Growth Fund-A, L.P. and Inovia Growth SPV - Quebec, L.P., but disclaims beneficial ownership of the securities reported herein except to the extent of its pecuniary interest therein. The address of the principal business office of iNovia Growth Capital Inc. is 3 Place Ville-Marie, Suite, 12350, Montreal, Quebec, Canada 1H3B 0E7.</w:t>
      </w:r>
    </w:p>
    <w:p>
      <w:pPr>
        <w:spacing w:after="0" w:line="6" w:lineRule="exact"/>
        <w:rPr>
          <w:rFonts w:ascii="Times New Roman" w:cs="Times New Roman" w:eastAsia="Times New Roman" w:hAnsi="Times New Roman"/>
          <w:sz w:val="13"/>
          <w:szCs w:val="13"/>
          <w:color w:val="auto"/>
        </w:rPr>
      </w:pPr>
    </w:p>
    <w:p>
      <w:pPr>
        <w:ind w:left="182" w:hanging="182"/>
        <w:spacing w:after="0" w:line="235" w:lineRule="auto"/>
        <w:tabs>
          <w:tab w:leader="none" w:pos="182"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203,010 shares of common stock held beneficially by Mr. Davidson, of which 74,942 shares are subject to a Company repurchase right that will terminate unless Sonder achieves a stock price of</w:t>
      </w:r>
    </w:p>
    <w:p>
      <w:pPr>
        <w:spacing w:after="0" w:line="1" w:lineRule="exact"/>
        <w:rPr>
          <w:sz w:val="20"/>
          <w:szCs w:val="20"/>
          <w:color w:val="auto"/>
        </w:rPr>
      </w:pPr>
    </w:p>
    <w:p>
      <w:pPr>
        <w:ind w:left="222" w:right="20"/>
        <w:spacing w:after="0" w:line="243" w:lineRule="auto"/>
        <w:rPr>
          <w:sz w:val="20"/>
          <w:szCs w:val="20"/>
          <w:color w:val="auto"/>
        </w:rPr>
      </w:pPr>
      <w:r>
        <w:rPr>
          <w:rFonts w:ascii="Times New Roman" w:cs="Times New Roman" w:eastAsia="Times New Roman" w:hAnsi="Times New Roman"/>
          <w:sz w:val="13"/>
          <w:szCs w:val="13"/>
          <w:color w:val="auto"/>
        </w:rPr>
        <w:t>$105.40 by November 15, 2026, (b) 371,069 shares of Special Voting common stock, and (c) 51,999 shares of common stock subject to outstanding options which are exercisable within 60 days of September 16, 2024. Excludes 1,000,000 shares of common stock issuable upon conversion of 1,000,000 shares of Preferred Stock held by Mr. Davidson. Mr. Davidson has agreed that he may</w:t>
      </w: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89" w:name="page190"/>
    <w:bookmarkEnd w:id="189"/>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222" w:right="200"/>
        <w:spacing w:after="0" w:line="247" w:lineRule="auto"/>
        <w:rPr>
          <w:sz w:val="20"/>
          <w:szCs w:val="20"/>
          <w:color w:val="auto"/>
        </w:rPr>
      </w:pPr>
      <w:r>
        <w:rPr>
          <w:rFonts w:ascii="Times New Roman" w:cs="Times New Roman" w:eastAsia="Times New Roman" w:hAnsi="Times New Roman"/>
          <w:sz w:val="13"/>
          <w:szCs w:val="13"/>
          <w:color w:val="auto"/>
        </w:rPr>
        <w:t>not convert any shares of Preferred Stock to common stock prior to the Company’s receipt of the Stockholder Approval. The shares of Preferred Stock do not have voting rights until the Company receives the Stockholder Approval.</w:t>
      </w:r>
    </w:p>
    <w:p>
      <w:pPr>
        <w:ind w:left="222" w:right="20" w:hanging="222"/>
        <w:spacing w:after="0" w:line="245" w:lineRule="auto"/>
        <w:tabs>
          <w:tab w:leader="none" w:pos="194"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5,000 shares of common stock held beneficially by Mr. Bourgault and (b) 58,925 shares of common stock subject to outstanding options which are exercisable within 60 days of September 16, 2024.</w:t>
      </w:r>
    </w:p>
    <w:p>
      <w:pPr>
        <w:ind w:left="182" w:hanging="182"/>
        <w:spacing w:after="0" w:line="235" w:lineRule="auto"/>
        <w:tabs>
          <w:tab w:leader="none" w:pos="18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2,570 shares of common stock held beneficially by Mr. Picard and (b) 98,601 shares of common stock subject to outstanding options which are exercisable within 60 days of September 16, 2024.</w:t>
      </w:r>
    </w:p>
    <w:p>
      <w:pPr>
        <w:ind w:left="222" w:right="20" w:hanging="222"/>
        <w:spacing w:after="0" w:line="251" w:lineRule="auto"/>
        <w:tabs>
          <w:tab w:leader="none" w:pos="187"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7,868 shares of common stock held directly by Mr. van Paasschen and (b) 10,424 shares of common stock subject to outstanding options and 12,517 shares of common stock subject to outstanding RSUs which are exercisable within 60 days of September 16, 2024.</w:t>
      </w:r>
    </w:p>
    <w:p>
      <w:pPr>
        <w:ind w:left="182" w:hanging="182"/>
        <w:spacing w:after="0"/>
        <w:tabs>
          <w:tab w:leader="none" w:pos="18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5,546 shares of common stock held directly by Ms. Sears and (b) 13,104 shares of common stock subject to outstanding RSUs which will vest within 60 days of September 16, 2024.</w:t>
      </w:r>
    </w:p>
    <w:p>
      <w:pPr>
        <w:spacing w:after="0" w:line="9"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2,380 shares of common stock held directly by Ms. Frymire and (b) 12,812 shares of common stock subject to outstanding RSUs which will vest within 60 days of September 16, 2024.</w:t>
      </w:r>
    </w:p>
    <w:p>
      <w:pPr>
        <w:spacing w:after="0" w:line="9"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2,822 shares of common stock held directly by Mr. Aggarwal and (b) 12,210 shares of common stock subject to outstanding RSUs which will vest within 60 days of September 16, 2024.</w:t>
      </w:r>
    </w:p>
    <w:p>
      <w:pPr>
        <w:spacing w:after="0" w:line="2" w:lineRule="exact"/>
        <w:rPr>
          <w:rFonts w:ascii="Times New Roman" w:cs="Times New Roman" w:eastAsia="Times New Roman" w:hAnsi="Times New Roman"/>
          <w:sz w:val="13"/>
          <w:szCs w:val="13"/>
          <w:color w:val="auto"/>
        </w:rPr>
      </w:pPr>
    </w:p>
    <w:p>
      <w:pPr>
        <w:ind w:left="302" w:right="20" w:hanging="302"/>
        <w:spacing w:after="0" w:line="253" w:lineRule="auto"/>
        <w:tabs>
          <w:tab w:leader="none" w:pos="254"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4,200 shares of common stock held directly by Mr. Banker and (b) 182,266 shares of common stock subject to outstanding options and 6,258 shares of common stock subject to outstanding RSUs which are exercisable or will vest within 60 days of September 16, 2024. Excludes 29,000 shares of common stock issuable upon conversion of 29,000 shares of Preferred Stock held by Mr. Banker. Mr. Banker has agreed that he may not convert any shares of Preferred Stock to common stock prior to the Company’s receipt of the Stockholder Approval. The shares of Preferred Stock do not have voting rights until the Company receives the Stockholder Approval.</w:t>
      </w:r>
    </w:p>
    <w:p>
      <w:pPr>
        <w:spacing w:after="0" w:line="1" w:lineRule="exact"/>
        <w:rPr>
          <w:rFonts w:ascii="Times New Roman" w:cs="Times New Roman" w:eastAsia="Times New Roman" w:hAnsi="Times New Roman"/>
          <w:sz w:val="13"/>
          <w:szCs w:val="13"/>
          <w:color w:val="auto"/>
        </w:rPr>
      </w:pPr>
    </w:p>
    <w:p>
      <w:pPr>
        <w:ind w:left="242" w:hanging="242"/>
        <w:spacing w:after="0"/>
        <w:tabs>
          <w:tab w:leader="none" w:pos="242"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8,874 shares of common stock subject to outstanding RSUs which will vest within 60 days of September 16, 2024.</w:t>
      </w:r>
    </w:p>
    <w:p>
      <w:pPr>
        <w:spacing w:after="0" w:line="20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36"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6"/>
          <w:szCs w:val="16"/>
          <w:color w:val="auto"/>
        </w:rPr>
        <w:t>In connection with the Business Combination, our stockholders approved the Management Equity Incentive Plan, the 2021 Equity Incentive Plan and the 2021 Employee Stock Purchase Plan. We also assumed all outstanding awards under the Legacy Sonder 2019 Equity Incentive Plan (as amended from time to time) (the “Legacy 2019 Equity Incentive Plan”) and the Legacy Sonder Stock Option Plan dated February 25, 2015 (as amended and restated from time to time) (the “Legacy Stock Option Plan”), each of which had been previously approved by the stockholders of Legacy Sonder. Additionally, in January 2023, the Board adopted the 2023 Inducement Equity Incentive Plan, which was amended in August 2023 (the “2023 Inducement Plan”), to provide for inducement grants to new hires or re-hires as material inducements to their acceptance of employment with the Company which grants are intended to comply the exemption provided by Nasdaq Listing Rule 5635(c)(4).</w:t>
      </w:r>
    </w:p>
    <w:p>
      <w:pPr>
        <w:spacing w:after="0" w:line="191" w:lineRule="exact"/>
        <w:rPr>
          <w:sz w:val="20"/>
          <w:szCs w:val="20"/>
          <w:color w:val="auto"/>
        </w:rPr>
      </w:pPr>
    </w:p>
    <w:p>
      <w:pPr>
        <w:ind w:left="2" w:right="100"/>
        <w:spacing w:after="0" w:line="291" w:lineRule="auto"/>
        <w:rPr>
          <w:sz w:val="20"/>
          <w:szCs w:val="20"/>
          <w:color w:val="auto"/>
        </w:rPr>
      </w:pPr>
      <w:r>
        <w:rPr>
          <w:rFonts w:ascii="Times New Roman" w:cs="Times New Roman" w:eastAsia="Times New Roman" w:hAnsi="Times New Roman"/>
          <w:sz w:val="16"/>
          <w:szCs w:val="16"/>
          <w:color w:val="auto"/>
        </w:rPr>
        <w:t>The following table summarizes our equity compensation plan information as of December 31, 2023 (as adjusted for the 1-for-20 Reverse Stock Split, effective September 20, 2023).</w:t>
      </w:r>
    </w:p>
    <w:p>
      <w:pPr>
        <w:spacing w:after="0" w:line="200" w:lineRule="exact"/>
        <w:rPr>
          <w:sz w:val="20"/>
          <w:szCs w:val="20"/>
          <w:color w:val="auto"/>
        </w:rPr>
      </w:pPr>
    </w:p>
    <w:p>
      <w:pPr>
        <w:spacing w:after="0" w:line="235"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18"/>
                <w:szCs w:val="18"/>
                <w:color w:val="auto"/>
              </w:rPr>
            </w:pPr>
          </w:p>
        </w:tc>
        <w:tc>
          <w:tcPr>
            <w:tcW w:w="20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8"/>
                <w:szCs w:val="18"/>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 securities remaining</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Number of securities to be</w:t>
            </w:r>
          </w:p>
        </w:tc>
        <w:tc>
          <w:tcPr>
            <w:tcW w:w="1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available for issuance under</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issued upon exercise of</w:t>
            </w: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Weighted-average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equity compensation plans</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outstanding options,</w:t>
            </w:r>
          </w:p>
        </w:tc>
        <w:tc>
          <w:tcPr>
            <w:tcW w:w="1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exercise price of</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(excluding securities reflected in</w:t>
            </w:r>
          </w:p>
        </w:tc>
        <w:tc>
          <w:tcPr>
            <w:tcW w:w="0" w:type="dxa"/>
            <w:vAlign w:val="bottom"/>
          </w:tcPr>
          <w:p>
            <w:pPr>
              <w:spacing w:after="0"/>
              <w:rPr>
                <w:sz w:val="1"/>
                <w:szCs w:val="1"/>
                <w:color w:val="auto"/>
              </w:rPr>
            </w:pPr>
          </w:p>
        </w:tc>
      </w:tr>
      <w:tr>
        <w:trPr>
          <w:trHeight w:val="249"/>
        </w:trPr>
        <w:tc>
          <w:tcPr>
            <w:tcW w:w="5260" w:type="dxa"/>
            <w:vAlign w:val="bottom"/>
          </w:tcPr>
          <w:p>
            <w:pPr>
              <w:spacing w:after="0"/>
              <w:rPr>
                <w:sz w:val="21"/>
                <w:szCs w:val="21"/>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warrants, and rights</w:t>
            </w: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outstanding options</w:t>
            </w:r>
            <w:r>
              <w:rPr>
                <w:rFonts w:ascii="Times New Roman" w:cs="Times New Roman" w:eastAsia="Times New Roman" w:hAnsi="Times New Roman"/>
                <w:sz w:val="21"/>
                <w:szCs w:val="21"/>
                <w:color w:val="auto"/>
                <w:w w:val="98"/>
                <w:vertAlign w:val="superscript"/>
              </w:rPr>
              <w:t>(3)</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column (a))</w:t>
            </w:r>
            <w:r>
              <w:rPr>
                <w:rFonts w:ascii="Times New Roman" w:cs="Times New Roman" w:eastAsia="Times New Roman" w:hAnsi="Times New Roman"/>
                <w:sz w:val="21"/>
                <w:szCs w:val="21"/>
                <w:color w:val="auto"/>
                <w:w w:val="92"/>
                <w:vertAlign w:val="superscript"/>
              </w:rPr>
              <w:t>(4)(5)</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stockholders</w:t>
            </w:r>
            <w:r>
              <w:rPr>
                <w:rFonts w:ascii="Times New Roman" w:cs="Times New Roman" w:eastAsia="Times New Roman" w:hAnsi="Times New Roman"/>
                <w:sz w:val="21"/>
                <w:szCs w:val="21"/>
                <w:color w:val="auto"/>
                <w:vertAlign w:val="superscript"/>
              </w:rPr>
              <w:t>(1)</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3,254,384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1,080,246</w:t>
            </w:r>
          </w:p>
        </w:tc>
        <w:tc>
          <w:tcPr>
            <w:tcW w:w="0" w:type="dxa"/>
            <w:vAlign w:val="bottom"/>
          </w:tcPr>
          <w:p>
            <w:pPr>
              <w:spacing w:after="0"/>
              <w:rPr>
                <w:sz w:val="1"/>
                <w:szCs w:val="1"/>
                <w:color w:val="auto"/>
              </w:rPr>
            </w:pPr>
          </w:p>
        </w:tc>
      </w:tr>
      <w:tr>
        <w:trPr>
          <w:trHeight w:val="29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r>
              <w:rPr>
                <w:rFonts w:ascii="Times New Roman" w:cs="Times New Roman" w:eastAsia="Times New Roman" w:hAnsi="Times New Roman"/>
                <w:sz w:val="21"/>
                <w:szCs w:val="21"/>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358,200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141,800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222" w:hanging="222"/>
        <w:spacing w:after="0" w:line="256" w:lineRule="auto"/>
        <w:tabs>
          <w:tab w:leader="none" w:pos="20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options to purchase 304,908 shares of common stock outstanding under the Legacy Stock Option Plan, options to purchase 51,782 shares of common stock and 587 unvested restricted stock units outstanding under the Legacy 2019 Equity Incentive Plan, and options to purchase 2,330,201 shares of common stock and 358,582 unvested restricted stock units outstanding under the 2021 Equity Incentive Plan. This number also includes a maximum of 567,493 shares of common stock issuable pursuant to outstanding performance share awards under the 2021 Management Equity Incentive Plan.</w:t>
      </w:r>
    </w:p>
    <w:p>
      <w:pPr>
        <w:ind w:left="182" w:hanging="182"/>
        <w:spacing w:after="0"/>
        <w:tabs>
          <w:tab w:leader="none" w:pos="18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options to purchase shares of common stock outstanding under the 2023 Inducement Plan.</w:t>
      </w:r>
    </w:p>
    <w:p>
      <w:pPr>
        <w:spacing w:after="0" w:line="4"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reflect shares of common stock underlying outstanding unvested restricted stock units or performance share awards included in column (a) because these units and awards have no exercise price.</w:t>
      </w:r>
    </w:p>
    <w:p>
      <w:pPr>
        <w:spacing w:after="0" w:line="9" w:lineRule="exact"/>
        <w:rPr>
          <w:rFonts w:ascii="Times New Roman" w:cs="Times New Roman" w:eastAsia="Times New Roman" w:hAnsi="Times New Roman"/>
          <w:sz w:val="13"/>
          <w:szCs w:val="13"/>
          <w:color w:val="auto"/>
        </w:rPr>
      </w:pPr>
    </w:p>
    <w:p>
      <w:pPr>
        <w:ind w:left="222" w:right="20" w:hanging="222"/>
        <w:spacing w:after="0" w:line="255" w:lineRule="auto"/>
        <w:tabs>
          <w:tab w:leader="none" w:pos="192"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569,715 shares of common stock available for future issuance under the 2021 Equity Incentive Plan, 157,507 shares of common stock available for future issuance under the 2021 Management Equity Incentive Plan and 353,024 shares of common stock available for future issuance under the 2021 Employee Stock Purchase Plan.</w:t>
      </w:r>
    </w:p>
    <w:p>
      <w:pPr>
        <w:jc w:val="both"/>
        <w:ind w:left="222" w:right="20" w:hanging="222"/>
        <w:spacing w:after="0" w:line="253" w:lineRule="auto"/>
        <w:tabs>
          <w:tab w:leader="none" w:pos="187"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common stock available for issuance under the 2021 Equity Incentive Plan increases automatically on the first day of each fiscal year of the Company beginning with the 2022 fiscal year and ending with the 2031 fiscal year, in an amount equal to the lesser of (i) 1,641,007 shares, (ii) 5% of the number of outstanding shares of common stock on the last day of the immediately preceding fiscal year and (iii) such number of shares determined by the Board or the Compensation Committee. The number of shares available for issuance under the 2021 Employee Stock</w:t>
      </w:r>
    </w:p>
    <w:p>
      <w:pPr>
        <w:spacing w:after="0" w:line="200" w:lineRule="exact"/>
        <w:rPr>
          <w:sz w:val="20"/>
          <w:szCs w:val="20"/>
          <w:color w:val="auto"/>
        </w:rPr>
      </w:pPr>
    </w:p>
    <w:p>
      <w:pPr>
        <w:spacing w:after="0" w:line="3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left="220" w:right="20"/>
        <w:spacing w:after="0" w:line="270" w:lineRule="auto"/>
        <w:rPr>
          <w:sz w:val="20"/>
          <w:szCs w:val="20"/>
          <w:color w:val="auto"/>
        </w:rPr>
      </w:pPr>
      <w:r>
        <w:rPr>
          <w:rFonts w:ascii="Times New Roman" w:cs="Times New Roman" w:eastAsia="Times New Roman" w:hAnsi="Times New Roman"/>
          <w:sz w:val="13"/>
          <w:szCs w:val="13"/>
          <w:color w:val="auto"/>
        </w:rPr>
        <w:t>Purchase Plan increases automatically on the first day of each fiscal year of the Company beginning with the 2022 fiscal year and ending with the 2041 fiscal year, in an amount equal to the lesser of (i) 328,201 shares, (ii) 1% of the number of outstanding shares of common stock on the last day of the immediately preceding fiscal year or (iii) such number of shares determined by the Board or the Compensation Committee.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Board has affirmatively determined that all of the director nominees and continuing directors, other than Messrs. Banker and Davidson due to their status as employees or former employees of the Company, have no relationship with the Company that would interfere with the exercise of independent judgment in carrying out the responsibilities of a director and that such individuals are independent directors within the meaning of the applicable Nasdaq listing standards and relevant securities and other laws, rules and regulations regarding the definition of “independent” (the “Independent Directors”). All members of the Audit Committee of the Board (the “Audit Committee”), the Governance Committee and the Compensation Committee of the Board (the “Compensation Committee”) are Independent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23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6"/>
          <w:szCs w:val="16"/>
          <w:color w:val="auto"/>
        </w:rPr>
        <w:t>Other than compensation arrangements for our directors and executive officers, which are described elsewhere in this Annual Report, the following is a description of each transaction since the beginning of the last two fiscal years ended December 31, 2023 and 2022 and each currently proposed transaction in which:</w:t>
      </w:r>
    </w:p>
    <w:p>
      <w:pPr>
        <w:spacing w:after="0" w:line="166" w:lineRule="exact"/>
        <w:rPr>
          <w:sz w:val="20"/>
          <w:szCs w:val="20"/>
          <w:color w:val="auto"/>
        </w:rPr>
      </w:pPr>
    </w:p>
    <w:p>
      <w:pPr>
        <w:ind w:left="680" w:hanging="94"/>
        <w:spacing w:after="0"/>
        <w:tabs>
          <w:tab w:leader="none" w:pos="6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or are to be a participant;</w:t>
      </w:r>
    </w:p>
    <w:p>
      <w:pPr>
        <w:spacing w:after="0" w:line="27" w:lineRule="exact"/>
        <w:rPr>
          <w:rFonts w:ascii="Times New Roman" w:cs="Times New Roman" w:eastAsia="Times New Roman" w:hAnsi="Times New Roman"/>
          <w:sz w:val="16"/>
          <w:szCs w:val="16"/>
          <w:color w:val="auto"/>
        </w:rPr>
      </w:pPr>
    </w:p>
    <w:p>
      <w:pPr>
        <w:ind w:left="660" w:right="20" w:hanging="74"/>
        <w:spacing w:after="0" w:line="255" w:lineRule="auto"/>
        <w:tabs>
          <w:tab w:leader="none" w:pos="69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involved exceeded or exceeds the lesser of (i) $120,000 or (ii) one percent of the average of our total assets at year-end for the last two completed fiscal years; and</w:t>
      </w:r>
    </w:p>
    <w:p>
      <w:pPr>
        <w:ind w:left="660" w:right="20" w:hanging="74"/>
        <w:spacing w:after="0" w:line="271" w:lineRule="auto"/>
        <w:tabs>
          <w:tab w:leader="none" w:pos="69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3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At the closing of the Business Combination on January 18, 2022, pursuant to the Merger Agreement, the (i) Company, (ii) the Sponsor, HRM Holdings II, LLC and Randall Bort, Michael Cramer and Joseph Gatto, who were GM II independent directors prior to the closing of the Business Combination (collectively, the “Initial Stockholders”) and (iii) those Legacy Sonder stockholders who are a party to that certain Voting and Support Agreement, dated April 29, 2021 (collectively, “Legacy Sonder Supporting Stockholders” and, together with the Company and the Initial Stockholders, the “Registration Rights Holders”) entered into a Registration Rights Agreement (the “Registration Rights Agreement”), pursuant to which the Registration Rights Holders are entitled to certain registration rights with respect to (a) any (1) outstanding share of common stock or any Private Placement Warrants held by the Sponsor and issued at the date of closing of the Company’s initial public offering, (2) shares of common stock issued upon the conversion of the 9,897,715 shares of Class F Stock held by the members of Sponsor, and 25,000 shares of Class F Stock held by each of Randall Bort, Michael Cramer and Joseph Gatto (after the forfeiture of 1,277,285 shares of Class F Stock by the Sponsor prior to the completion of the Business Combination) (the “Founder Shares”) and upon exercise of the Private Placement Warrants, (3) shares of common stock issued as Earn Out Shares or issuable upon the conversion of any Earn Out Shares, in each case, held by the stockholders of Legacy Sonder prior to the Business Combination, (4) common stock issued or issuable upon conversion of the convertible promissory notes issued by Legacy Sonder to certain purchasers pursuant to the Note Purchase Agreement, dated March 12, 2021, as amended (the “Legacy Sonder Convertible Notes”) or upon exercise of the warrants issued pursuant to the Note Purchase Agreement, dated on or about March 12, 2021 between Legacy Sonder and the other parties thereto and (5) any other equity security of the Company issued or issuable with respect to any such share of common stock referred to in the foregoing clauses “(1)” through “(4)” by way of a stock dividend or stock split or in connection with a combination of shares, recapitalization, merger, consolidation or other reorganization or otherwise, in each case held by such Registration Rights Holder, subject to certain limitations set forth in the Registration Rights Agreement.</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Pre-Business Combination Relationships and Related Party Transactions of GM II</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Registration Rights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1" w:name="page192"/>
    <w:bookmarkEnd w:id="191"/>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6"/>
          <w:szCs w:val="16"/>
          <w:color w:val="auto"/>
        </w:rPr>
        <w:t>Holders of the Founder Shares, Private Placement Warrants and Public Warrants issued upon conversion of working capital loans, if any, have registration rights pursuant to a registration rights agreement. The holders of these securities are entitled to make up to three demands that the Company register under the Securities Act the Public Warrants and the Common Stock underlying the Public Warrants and the Founder Shares. In addition, the holders have certain “piggy-back” registration rights with respect to registration statements filed by the Company subsequent to its completion of a business combination and rights to require the Company to register for resale such securities pursuant to Rule 415 under the Securities Act. However, the registration rights agreement provides that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8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Related Party Notes</w:t>
      </w:r>
    </w:p>
    <w:p>
      <w:pPr>
        <w:spacing w:after="0" w:line="234" w:lineRule="exact"/>
        <w:rPr>
          <w:sz w:val="20"/>
          <w:szCs w:val="20"/>
          <w:color w:val="auto"/>
        </w:rPr>
      </w:pPr>
    </w:p>
    <w:p>
      <w:pPr>
        <w:jc w:val="both"/>
        <w:ind w:left="2" w:right="20"/>
        <w:spacing w:after="0" w:line="291" w:lineRule="auto"/>
        <w:rPr>
          <w:sz w:val="20"/>
          <w:szCs w:val="20"/>
          <w:color w:val="auto"/>
        </w:rPr>
      </w:pPr>
      <w:r>
        <w:rPr>
          <w:rFonts w:ascii="Times New Roman" w:cs="Times New Roman" w:eastAsia="Times New Roman" w:hAnsi="Times New Roman"/>
          <w:sz w:val="16"/>
          <w:szCs w:val="16"/>
          <w:color w:val="auto"/>
        </w:rPr>
        <w:t>Prior to the completion of the Business Combination, GM II borrowed $1.5 million from the Sponsor to fund expenses of the Business Combination. The Company repaid this loan on the closing of the Business Combination on January 18, 2022.</w:t>
      </w:r>
    </w:p>
    <w:p>
      <w:pPr>
        <w:spacing w:after="0" w:line="16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Administrative Services Agreement</w:t>
      </w: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On January 19, 2021, GM II entered into an agreement to pay monthly recurring expenses to The Gores Group of $20,000 for office space, utilities and secretarial support.</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Services commenced on the date the Company securities were first listed on the Nasdaq and terminated upon the closing of the Business Combination on January 18, 2022.</w:t>
      </w:r>
    </w:p>
    <w:p>
      <w:pPr>
        <w:spacing w:after="0" w:line="2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color w:val="auto"/>
        </w:rPr>
        <w:t>Pre-Business Combination Relationships and Related Party Transactions of Legacy Sonder</w:t>
      </w:r>
    </w:p>
    <w:p>
      <w:pPr>
        <w:spacing w:after="0" w:line="23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u w:val="single" w:color="auto"/>
          <w:color w:val="auto"/>
        </w:rPr>
        <w:t>Francis Davidson Promissory Note</w:t>
      </w:r>
    </w:p>
    <w:p>
      <w:pPr>
        <w:spacing w:after="0" w:line="232"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On December 2, 2019, Legacy Sonder granted Mr. Davidson the ability to exercise an option award for an aggregate exercise price of $24.6 million with a full recourse promissory note (and security agreement) from Legacy Sonder, bearing interest at the rate of 2.00% per annum, compounding semiannually. As of September 30, 2021, December 31, 2020 and 2019, the aggregate borrowings outstanding under the note, including interest, were $25.6 million, $25.2 million and $24.7 million, respectively. The aggregate outstanding principal amount and interest under the loan was repaid in full prior to the consummation of the Business Combination on January 18, 2022.</w:t>
      </w:r>
    </w:p>
    <w:p>
      <w:pPr>
        <w:spacing w:after="0" w:line="18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2021 Convertible Promissory Notes</w:t>
      </w:r>
    </w:p>
    <w:p>
      <w:pPr>
        <w:spacing w:after="0" w:line="234" w:lineRule="exact"/>
        <w:rPr>
          <w:sz w:val="20"/>
          <w:szCs w:val="20"/>
          <w:color w:val="auto"/>
        </w:rPr>
      </w:pPr>
    </w:p>
    <w:p>
      <w:pPr>
        <w:jc w:val="both"/>
        <w:ind w:left="2" w:right="20"/>
        <w:spacing w:after="0" w:line="267" w:lineRule="auto"/>
        <w:rPr>
          <w:sz w:val="20"/>
          <w:szCs w:val="20"/>
          <w:color w:val="auto"/>
        </w:rPr>
      </w:pPr>
      <w:r>
        <w:rPr>
          <w:rFonts w:ascii="Times New Roman" w:cs="Times New Roman" w:eastAsia="Times New Roman" w:hAnsi="Times New Roman"/>
          <w:sz w:val="16"/>
          <w:szCs w:val="16"/>
          <w:color w:val="auto"/>
        </w:rPr>
        <w:t>During March 2021, Legacy Sonder issued the Legacy Sonder Convertible Notes in an aggregate principal amount of $165 million to certain investors pursuant to the Note Purchase Agreement, dated March 12, 2021, for which Legacy Sonder received $165 million in exchange for Legacy Sonder’s agreement to issue the investors shares of its capital stock upon the occurrence of certain events described therein. The Legacy Sonder Convertible Notes automatically converted into shares of Legacy Sonder common stock immediately prior to the consummation of the Business Combination on January 18, 2022.</w:t>
      </w:r>
    </w:p>
    <w:p>
      <w:pPr>
        <w:spacing w:after="0" w:line="185"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9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summarizes the Legacy Sonder Convertible Notes issued by Legacy Sonder to holders of more than 5% of its capital stock.</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 Principal Amount</w:t>
            </w:r>
          </w:p>
        </w:tc>
        <w:tc>
          <w:tcPr>
            <w:tcW w:w="0" w:type="dxa"/>
            <w:vAlign w:val="bottom"/>
          </w:tcPr>
          <w:p>
            <w:pPr>
              <w:spacing w:after="0"/>
              <w:rPr>
                <w:sz w:val="1"/>
                <w:szCs w:val="1"/>
                <w:color w:val="auto"/>
              </w:rPr>
            </w:pPr>
          </w:p>
        </w:tc>
      </w:tr>
      <w:tr>
        <w:trPr>
          <w:trHeight w:val="215"/>
        </w:trPr>
        <w:tc>
          <w:tcPr>
            <w:tcW w:w="95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
        </w:trPr>
        <w:tc>
          <w:tcPr>
            <w:tcW w:w="9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9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Entities affiliated with Fidelity* </w:t>
            </w:r>
            <w:r>
              <w:rPr>
                <w:rFonts w:ascii="Times New Roman" w:cs="Times New Roman" w:eastAsia="Times New Roman" w:hAnsi="Times New Roman"/>
                <w:sz w:val="21"/>
                <w:szCs w:val="21"/>
                <w:color w:val="auto"/>
                <w:vertAlign w:val="superscript"/>
              </w:rPr>
              <w:t>(1)(2)</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0" w:type="dxa"/>
            <w:vAlign w:val="bottom"/>
          </w:tcPr>
          <w:p>
            <w:pPr>
              <w:spacing w:after="0"/>
              <w:rPr>
                <w:sz w:val="1"/>
                <w:szCs w:val="1"/>
                <w:color w:val="auto"/>
              </w:rPr>
            </w:pPr>
          </w:p>
        </w:tc>
      </w:tr>
      <w:tr>
        <w:trPr>
          <w:trHeight w:val="219"/>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Westcap Sonder Convert Co-Invest 2021, LLC*</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10,750,000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 Together with its affiliated entities owned more than 5% of Legacy Sonder capital stock.</w:t>
      </w:r>
    </w:p>
    <w:p>
      <w:pPr>
        <w:spacing w:after="0" w:line="11" w:lineRule="exact"/>
        <w:rPr>
          <w:sz w:val="20"/>
          <w:szCs w:val="20"/>
          <w:color w:val="auto"/>
        </w:rPr>
      </w:pPr>
    </w:p>
    <w:p>
      <w:pPr>
        <w:ind w:left="222" w:right="20" w:hanging="222"/>
        <w:spacing w:after="0" w:line="251" w:lineRule="auto"/>
        <w:tabs>
          <w:tab w:leader="none" w:pos="199"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details regarding this stockholder and its equity holdings are provided under the section titled “Other Information Related to Sonder, Its Directors and Executive Officers—Security Ownership of Certain Beneficial Owners and Management.”</w:t>
      </w:r>
    </w:p>
    <w:p>
      <w:pPr>
        <w:ind w:left="182" w:hanging="182"/>
        <w:spacing w:after="0"/>
        <w:tabs>
          <w:tab w:leader="none" w:pos="182"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Entities affiliated with Fidelity, including Fidelity Mt. Vernon Street Trust: Fidelity Series Growth Company Fund, Fidelity Mt. Vernon Street Trust: Fidelity Growth Company Fund, Fidelity Growth Company</w:t>
      </w:r>
    </w:p>
    <w:p>
      <w:pPr>
        <w:spacing w:after="0" w:line="9" w:lineRule="exact"/>
        <w:rPr>
          <w:rFonts w:ascii="Times New Roman" w:cs="Times New Roman" w:eastAsia="Times New Roman" w:hAnsi="Times New Roman"/>
          <w:sz w:val="13"/>
          <w:szCs w:val="13"/>
          <w:color w:val="auto"/>
        </w:rPr>
      </w:pPr>
    </w:p>
    <w:p>
      <w:pPr>
        <w:ind w:left="22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Commingled Pool, Fidelity Mt. Vernon Street Trust: Fidelity Growth Company K6 Fund, Fidelity Securities Fund: Fidelity Blue Chip Growth Fund, Fidelity Blue Chip Growth Commingled Pool, Fidelity</w:t>
      </w:r>
    </w:p>
    <w:p>
      <w:pPr>
        <w:spacing w:after="0" w:line="9" w:lineRule="exact"/>
        <w:rPr>
          <w:rFonts w:ascii="Times New Roman" w:cs="Times New Roman" w:eastAsia="Times New Roman" w:hAnsi="Times New Roman"/>
          <w:sz w:val="13"/>
          <w:szCs w:val="13"/>
          <w:color w:val="auto"/>
        </w:rPr>
      </w:pPr>
    </w:p>
    <w:p>
      <w:pPr>
        <w:ind w:left="222" w:right="20"/>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Fund: Fidelity Flex Large Cap Growth Fund, Fidelity Securities Fund: Fidelity Blue Chip Growth K6 Fund, Fidelity Blue Chip Growth Institutional Trust and FIAM Target Date Blue Chip Growth Commingled Pool, collectively, beneficially owned more than five percent of Legacy Sonder’s outstanding shares.</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Existing PIPE Investment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Certain investors (including entities affiliated with Fidelity (3,000,000 shares), which held more than 5% of Legacy Sonder’s capital stock) entered into subscription agreements with GM II, which were consummated substantially concurrently with the consummation of the Business Combination on January 18, 2022, pursuant to which such investors subscribed for shares of Class A Stock (which became common stock upon the effectiveness of the Restated Certificate).</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New PIPE Investment</w:t>
      </w:r>
    </w:p>
    <w:p>
      <w:pPr>
        <w:spacing w:after="0" w:line="23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October 27, 2021, the Company entered into subscription agreements with entities affiliated with Fidelity, which held more than 5% of Legacy Sonder’s capital stock, pursuant to which such entities affiliated with Fidelity have agreed to purchase an aggregate of 2,812,148 shares of Class A Stock (which became common stock upon the effectiveness of the Restated Certificate) at a price of $8.89 per share. The subscription agreements consummated substantially concurrently with the consummation of the Business Combination on January 18, 2022.</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Amended and Restated Investors’ Rights Agreement</w:t>
      </w:r>
    </w:p>
    <w:p>
      <w:pPr>
        <w:spacing w:after="0" w:line="2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Legacy Sonder was a party to the Amended and Restated Investors’ Rights Agreement, dated as of April 3, 2020, with certain holders of Legacy Sonder’s capital stock, including certain directors, officers and 5% holders of Legacy Sonder’s capital stock, which granted to such holders registration rights and information rights, among other things. This agreement terminated upon the consummation of the Business Combination on January 18, 2022.</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Earn Out Shares</w:t>
      </w:r>
    </w:p>
    <w:p>
      <w:pPr>
        <w:spacing w:after="0" w:line="23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In addition to the consideration paid at the closing of the Business Combination, holders of Legacy Sonder’s common stock, Series AA Common Exchangeable Preferred Shares of Sonder Canada Inc. and warrants of Legacy Sonder immediately prior to the effective time of the Business Combination (which holders include certain directors, officers and 5% holders of the Company’s capital stock) may receive their pro rata share of the Earn Out Shares as consideration as a result of the common stock achieving a Triggering Event certain benchmark share prices as contemplated by the Merger Agreement. If no Triggering Event occurs by July 17, 2027, no Earn Out Shares will be issued.</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August 2024 Preferred Stock Offering</w:t>
      </w:r>
    </w:p>
    <w:p>
      <w:pPr>
        <w:spacing w:after="0" w:line="236" w:lineRule="exact"/>
        <w:rPr>
          <w:sz w:val="20"/>
          <w:szCs w:val="20"/>
          <w:color w:val="auto"/>
        </w:rPr>
      </w:pPr>
    </w:p>
    <w:p>
      <w:pPr>
        <w:jc w:val="both"/>
        <w:ind w:right="20" w:firstLine="588"/>
        <w:spacing w:after="0" w:line="259" w:lineRule="auto"/>
        <w:rPr>
          <w:sz w:val="20"/>
          <w:szCs w:val="20"/>
          <w:color w:val="auto"/>
        </w:rPr>
      </w:pPr>
      <w:r>
        <w:rPr>
          <w:rFonts w:ascii="Times New Roman" w:cs="Times New Roman" w:eastAsia="Times New Roman" w:hAnsi="Times New Roman"/>
          <w:sz w:val="16"/>
          <w:szCs w:val="16"/>
          <w:color w:val="auto"/>
        </w:rPr>
        <w:t>On August 13, 2024, the Company entered into Securities Purchase Agreements (the “August 2024 Securities Purchase Agreements”), with certain qualified institutional buyers or accredited investors (each a “Purchaser” and collectively, the “Purchasers”) (the “August 2024 Private Placement”) of an aggregate of 43.3 million newly issued shares of Preferred Stock, in exchange for cash consideration in an aggregate amount of approximately $43.3 million. The sale of the Preferred Stock pursuant to the August 2024 Securities Purchase Agreements will take place in two tranches, with the first tranche, comprised of approximately 14.7 million shares of preferred stock for an aggregate purchase price of approximately $14.7 million, closed on August 13, 2024 and the second tranche, comprised of approximately 28.6 million shares of preferred stock for an aggregate purchase price of approximately $28.6 million, closing upon the satisfaction of certain closing conditions set forth in the August 2024 Securities Purchase Agreements, including the Company filing its Annual Report on Form 10-K for the year ended December 31, 2023 and its Quarterly Reports on Form 10-Q for the fiscal quarters ended March 31, 2024 and June 30, 2024 (together, the “SEC Documents”). A portion of the Preferred Stock will be immediately convertible into approximately 2.2 million shares of common stock. Following receipt of Stockholder Approval (as defined below), all 43.3 million shares of the Preferred Stock will be convertible into shares of common stock.</w:t>
      </w:r>
    </w:p>
    <w:p>
      <w:pPr>
        <w:spacing w:after="0" w:line="194" w:lineRule="exact"/>
        <w:rPr>
          <w:sz w:val="20"/>
          <w:szCs w:val="20"/>
          <w:color w:val="auto"/>
        </w:rPr>
      </w:pPr>
    </w:p>
    <w:p>
      <w:pPr>
        <w:jc w:val="both"/>
        <w:ind w:firstLine="588"/>
        <w:spacing w:after="0" w:line="261" w:lineRule="auto"/>
        <w:rPr>
          <w:sz w:val="20"/>
          <w:szCs w:val="20"/>
          <w:color w:val="auto"/>
        </w:rPr>
      </w:pPr>
      <w:r>
        <w:rPr>
          <w:rFonts w:ascii="Times New Roman" w:cs="Times New Roman" w:eastAsia="Times New Roman" w:hAnsi="Times New Roman"/>
          <w:sz w:val="16"/>
          <w:szCs w:val="16"/>
          <w:color w:val="auto"/>
        </w:rPr>
        <w:t>The August 2024 Securities Purchase Agreements require the Company to hold a special meeting of stockholders within 30 calendar days of the filing of the SEC Documents for the purpose of obtaining stockholder approval of proposals to issue shares of common stock to the Purchasers in connection with the conversion of the Preferred Stock into common stock that would, absent such approval, violate Nasdaq Rules 5635(b), (c) and (d) (the “Stockholder Approval”). The Securities Purchase Agreements require the Company to file a registration statement under the Securities Act, within 30 calendar days of the filing of the SEC Documents with respect to the resale of shares of common stock receivable upon conversion of the Preferred Stock. The August 2024 Securities Purchase Agreements grant the Purchasers the right to purchase up to 25% of any equity offering within the next five years (a “Subsequent Financing”). The Purchasers are entitled to participate on a pro-rata basis (determined by their proportionate participation in the August 2024 Private Placement) at a purchase price equal to 75% of the purchase price of any other investor in such Subsequent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 w:firstLine="588"/>
        <w:spacing w:after="0" w:line="264" w:lineRule="auto"/>
        <w:rPr>
          <w:sz w:val="20"/>
          <w:szCs w:val="20"/>
          <w:color w:val="auto"/>
        </w:rPr>
      </w:pPr>
      <w:r>
        <w:rPr>
          <w:rFonts w:ascii="Times New Roman" w:cs="Times New Roman" w:eastAsia="Times New Roman" w:hAnsi="Times New Roman"/>
          <w:sz w:val="16"/>
          <w:szCs w:val="16"/>
          <w:color w:val="auto"/>
        </w:rPr>
        <w:t>Affiliates of Atreides Management, LP, the beneficial owner of 9.1% of our common stock prior to the closing on August 13, 2024, Francis Davidson, the Company’s Chief Executive Officer and Chairman of the Company’s Board of Directors, and Sanjay Banker, a member of the Company’s Board of Directors, are parties to August 2024 Securities Purchase Agreements, with commitments of approximately $15,000,000, $1,500,000, and $100,000, respectively, in the August 2024 Private Placement. Mr. Davidson and Mr. Banker have each agreed that they may not convert any shares of Preferred Stock to common stock prior to the Company’s receipt of stockholder approval pursuant to Nasdaq Rule 5635(c).</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Review, Approval, and Ratification of Transactions with Related Parties</w:t>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Board has adopted a written related person transactions policy that sets forth the Company’s policies and procedures regarding the identification, review, consideration and oversight of “related person transactions” (the “Related Person Transaction Policy”). For purposes of the Related Person Transaction Policy, a “related person transaction” is a transaction, arrangement or relationship (or any series of similar transactions, arrangements or relationships) or any proposed transaction, arrangement or relationship, in which the Company is a participant and in which any “related person” has, had or will have a direct or indirect material interest (as contemplated by Item 404(a) of Regulation S-K under the Exchange Act) and the aggregate amount involved exceeds One Hundred Twenty Thousand U.S. Dollars ($120,000).</w:t>
      </w:r>
    </w:p>
    <w:p>
      <w:pPr>
        <w:spacing w:after="0" w:line="18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Transactions involving compensation for services provided to the Company as an employee, consultant or director will not be considered related person transactions under this policy. For purposes of the Company’s policy, a related person is (i) any person who is, or at any time since the beginning of the Company’s last fiscal year was, a director or executive officer of the Company; (ii) nominees for director of the Company; (iii) any person or entity known by the Company to be the beneficial owner of more than five percent (5%) of any class of the Company’s voting securities (each, a “5% Stockholder”); (iv) any immediate family member of any of the foregoing; or (v) affiliates of the Company (i.e., subsidiaries).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Under the Related Person Transaction Policy, each of the Company’s directors and executive officers (and, to the extent that they are otherwise employed by or affiliated with the Company, 5% Stockholders) will inform the Company’s General Counsel or their designee of any potential related person transactions of which they become aware. The Audit Committee will review (with management) on a periodic basis, and no less than quarterly, (i) any proposed related person transactions, or (ii) any related person transactions of which they have become aware and which have not previously been approved by the Audit Committee. The Audit Committee’s review will include, in each case, the terms, business purposes and proposed value of such transactions. After review, the Audit Committee will approve, ratify or disapprove such transactions. In certain limited situations the Chairperson of the Audit Committee may review and approve related person transactions if the aggregate amount involved in any such transaction, or series of related transactions, is expected to be less than Two Hundred Fifty Thousand U.S. Dollars ($250,000). Any such approval will be reported to the Audit Committee at its next regularly scheduled meeting.</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To identify related person transactions in advance, the Company will rely on information supplied by the Company’s executive officers, directors and certain significant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considering related person transactions, the Audit Committee will take into account the following factors, to the extent relevant to the related person transaction:</w:t>
      </w:r>
    </w:p>
    <w:p>
      <w:pPr>
        <w:spacing w:after="0" w:line="232" w:lineRule="exact"/>
        <w:rPr>
          <w:sz w:val="20"/>
          <w:szCs w:val="20"/>
          <w:color w:val="auto"/>
        </w:rPr>
      </w:pPr>
    </w:p>
    <w:p>
      <w:pPr>
        <w:ind w:left="740" w:right="20" w:hanging="154"/>
        <w:spacing w:after="0" w:line="265" w:lineRule="auto"/>
        <w:tabs>
          <w:tab w:leader="none" w:pos="69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related person transaction is fair to the Company and on terms no less favorable than terms generally available to an unaffiliated third-party under the same or similar circumstances;</w:t>
      </w:r>
    </w:p>
    <w:p>
      <w:pPr>
        <w:spacing w:after="0" w:line="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of the related person’s interest in the transaction;</w:t>
      </w:r>
    </w:p>
    <w:p>
      <w:pPr>
        <w:spacing w:after="0" w:line="11" w:lineRule="exact"/>
        <w:rPr>
          <w:rFonts w:ascii="Times New Roman" w:cs="Times New Roman" w:eastAsia="Times New Roman" w:hAnsi="Times New Roman"/>
          <w:sz w:val="16"/>
          <w:szCs w:val="16"/>
          <w:color w:val="auto"/>
        </w:rPr>
      </w:pPr>
    </w:p>
    <w:p>
      <w:pPr>
        <w:ind w:left="680" w:hanging="94"/>
        <w:spacing w:after="0"/>
        <w:tabs>
          <w:tab w:leader="none" w:pos="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there are business reasons for the Company to enter into the related person transaction;</w:t>
      </w:r>
    </w:p>
    <w:p>
      <w:pPr>
        <w:spacing w:after="0" w:line="11" w:lineRule="exact"/>
        <w:rPr>
          <w:rFonts w:ascii="Times New Roman" w:cs="Times New Roman" w:eastAsia="Times New Roman" w:hAnsi="Times New Roman"/>
          <w:sz w:val="16"/>
          <w:szCs w:val="16"/>
          <w:color w:val="auto"/>
        </w:rPr>
      </w:pPr>
    </w:p>
    <w:p>
      <w:pPr>
        <w:ind w:left="740" w:right="20" w:hanging="154"/>
        <w:spacing w:after="0" w:line="255" w:lineRule="auto"/>
        <w:tabs>
          <w:tab w:leader="none" w:pos="69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related person transaction would impair the independence of an outside director, including the ability of any director to serve on a committee of the Board; and</w:t>
      </w:r>
    </w:p>
    <w:p>
      <w:pPr>
        <w:jc w:val="both"/>
        <w:ind w:left="740" w:right="20" w:hanging="154"/>
        <w:spacing w:after="0" w:line="260" w:lineRule="auto"/>
        <w:tabs>
          <w:tab w:leader="none" w:pos="6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related person transaction would present an improper conflict of interest for any director or executive officer of the Company, taking into account the size of the transaction, the overall financial position of the director, executive officer or Related Person, the direct or indirect nature of the director’s, executive officer’s or related person’s interest in the transaction and the ongoing nature of any proposed relationship, and any other factors the Audit Committee deems relevant.</w:t>
      </w:r>
    </w:p>
    <w:p>
      <w:pPr>
        <w:spacing w:after="0" w:line="19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The Related Person Transaction Policy grants standing pre-approval of certain transactions, including (1) certain compensation arrangements for our directors or executive officers, (2) transactions with another company at which a related person’s only relationship is as a non-executive employee, director or beneficial owner of less than 10% of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4" w:name="page195"/>
    <w:bookmarkEnd w:id="194"/>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6"/>
          <w:szCs w:val="16"/>
          <w:color w:val="auto"/>
        </w:rPr>
        <w:t>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Related Person Transaction Policy, our Audit Committee charter provides that our Audit Committee shall review and approve or disapprove any related person transactions.</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All of the transactions described above were entered into prior to the adoption of the Related Person Transactions Policy.</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24" w:lineRule="exact"/>
        <w:rPr>
          <w:sz w:val="20"/>
          <w:szCs w:val="20"/>
          <w:color w:val="auto"/>
        </w:rPr>
      </w:pPr>
    </w:p>
    <w:p>
      <w:pPr>
        <w:ind w:left="2" w:right="20"/>
        <w:spacing w:after="0" w:line="275" w:lineRule="auto"/>
        <w:rPr>
          <w:sz w:val="20"/>
          <w:szCs w:val="20"/>
          <w:color w:val="auto"/>
        </w:rPr>
      </w:pPr>
      <w:r>
        <w:rPr>
          <w:rFonts w:ascii="Times New Roman" w:cs="Times New Roman" w:eastAsia="Times New Roman" w:hAnsi="Times New Roman"/>
          <w:sz w:val="16"/>
          <w:szCs w:val="16"/>
          <w:color w:val="auto"/>
        </w:rPr>
        <w:t>The fees in the table below for the years ended December 31, 2023 and 2022 were paid to Deloitte &amp; Touche LLP, the Company’s independent registered public accounting firm.</w:t>
      </w:r>
    </w:p>
    <w:p>
      <w:pPr>
        <w:spacing w:after="0" w:line="200" w:lineRule="exact"/>
        <w:rPr>
          <w:sz w:val="20"/>
          <w:szCs w:val="20"/>
          <w:color w:val="auto"/>
        </w:rPr>
      </w:pPr>
    </w:p>
    <w:p>
      <w:pPr>
        <w:spacing w:after="0" w:line="244" w:lineRule="exact"/>
        <w:rPr>
          <w:sz w:val="20"/>
          <w:szCs w:val="20"/>
          <w:color w:val="auto"/>
        </w:rPr>
      </w:pPr>
    </w:p>
    <w:tbl>
      <w:tblPr>
        <w:tblLayout w:type="fixed"/>
        <w:tblInd w:w="22"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66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r>
      <w:tr>
        <w:trPr>
          <w:trHeight w:val="257"/>
        </w:trPr>
        <w:tc>
          <w:tcPr>
            <w:tcW w:w="75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8"/>
        </w:trPr>
        <w:tc>
          <w:tcPr>
            <w:tcW w:w="75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4,350,315</w:t>
            </w:r>
          </w:p>
        </w:tc>
        <w:tc>
          <w:tcPr>
            <w:tcW w:w="4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2,924,750</w:t>
            </w:r>
          </w:p>
        </w:tc>
      </w:t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1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131,000</w:t>
            </w:r>
          </w:p>
        </w:tc>
        <w:tc>
          <w:tcPr>
            <w:tcW w:w="4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263,600</w:t>
            </w:r>
          </w:p>
        </w:tc>
      </w:tr>
      <w:tr>
        <w:trPr>
          <w:trHeight w:val="25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4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w:t>
            </w:r>
          </w:p>
        </w:tc>
      </w:tr>
      <w:tr>
        <w:trPr>
          <w:trHeight w:val="268"/>
        </w:trPr>
        <w:tc>
          <w:tcPr>
            <w:tcW w:w="7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4,483,210</w:t>
            </w:r>
          </w:p>
        </w:tc>
        <w:tc>
          <w:tcPr>
            <w:tcW w:w="46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3,190,245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22" w:right="380" w:hanging="222"/>
        <w:spacing w:after="0" w:line="253" w:lineRule="auto"/>
        <w:tabs>
          <w:tab w:leader="none" w:pos="186"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for 2023 and 2022 include fees associated with the annual audit of our financial statements, reviews of quarterly financial information and the review of our Quarterly Reports on Form 10-Q and Annual Report on Form 10-K.</w:t>
      </w:r>
    </w:p>
    <w:p>
      <w:pPr>
        <w:ind w:left="222" w:right="280" w:hanging="222"/>
        <w:spacing w:after="0" w:line="255" w:lineRule="auto"/>
        <w:tabs>
          <w:tab w:leader="none" w:pos="186"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Audit-related fees for 2023 and 2022 consisted of fees for professional services rendered in connection with the submission of our Current Report on Form 8-K/A which was filed with the SEC on March 28, 2022, Registration Statement on Form S-8, and Post-Effective Amendment No. 2 to Form S-1 on Form S-3.</w:t>
      </w:r>
    </w:p>
    <w:p>
      <w:pPr>
        <w:ind w:left="182" w:hanging="182"/>
        <w:spacing w:after="0"/>
        <w:tabs>
          <w:tab w:leader="none" w:pos="182"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Deloitte &amp; Touche LLP did not perform any tax compliance, tax advice or tax planning services in the fiscal years shown.</w:t>
      </w:r>
    </w:p>
    <w:p>
      <w:pPr>
        <w:spacing w:after="0" w:line="2" w:lineRule="exact"/>
        <w:rPr>
          <w:rFonts w:ascii="Times New Roman" w:cs="Times New Roman" w:eastAsia="Times New Roman" w:hAnsi="Times New Roman"/>
          <w:sz w:val="13"/>
          <w:szCs w:val="13"/>
          <w:color w:val="auto"/>
        </w:rPr>
      </w:pPr>
    </w:p>
    <w:p>
      <w:pPr>
        <w:ind w:left="182" w:hanging="182"/>
        <w:spacing w:after="0"/>
        <w:tabs>
          <w:tab w:leader="none" w:pos="182"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Fees in 2023 and 2022 included fees associated with products and services (online research tools) provided by Deloitte &amp; Touche LLP.</w:t>
      </w:r>
    </w:p>
    <w:p>
      <w:pPr>
        <w:spacing w:after="0" w:line="2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Policy on Audit Committee Pre-Approval of Audit and Permissible Non-Audit Services of Independent Registered Public Accounting Firm</w:t>
      </w:r>
    </w:p>
    <w:p>
      <w:pPr>
        <w:spacing w:after="0" w:line="236" w:lineRule="exact"/>
        <w:rPr>
          <w:sz w:val="20"/>
          <w:szCs w:val="20"/>
          <w:color w:val="auto"/>
        </w:rPr>
      </w:pPr>
    </w:p>
    <w:p>
      <w:pPr>
        <w:jc w:val="both"/>
        <w:ind w:left="2"/>
        <w:spacing w:after="0" w:line="273" w:lineRule="auto"/>
        <w:rPr>
          <w:sz w:val="20"/>
          <w:szCs w:val="20"/>
          <w:color w:val="auto"/>
        </w:rPr>
      </w:pPr>
      <w:r>
        <w:rPr>
          <w:rFonts w:ascii="Times New Roman" w:cs="Times New Roman" w:eastAsia="Times New Roman" w:hAnsi="Times New Roman"/>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All of the services listed in the table above provided by Deloitte &amp; Touche LLP were approved by our Audit Committee.</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42"/>
          </w:cols>
          <w:pgMar w:left="318" w:top="12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Pr>
          <w:p>
            <w:pPr>
              <w:ind w:left="530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2260" w:type="dxa"/>
            <w:vAlign w:val="bottom"/>
          </w:tcPr>
          <w:p>
            <w:pPr>
              <w:spacing w:after="0"/>
              <w:rPr>
                <w:sz w:val="18"/>
                <w:szCs w:val="18"/>
                <w:color w:val="auto"/>
              </w:rPr>
            </w:pPr>
          </w:p>
        </w:tc>
      </w:tr>
      <w:tr>
        <w:trPr>
          <w:trHeight w:val="490"/>
        </w:trPr>
        <w:tc>
          <w:tcPr>
            <w:tcW w:w="9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2260" w:type="dxa"/>
            <w:vAlign w:val="bottom"/>
          </w:tcPr>
          <w:p>
            <w:pPr>
              <w:spacing w:after="0"/>
              <w:rPr>
                <w:sz w:val="24"/>
                <w:szCs w:val="24"/>
                <w:color w:val="auto"/>
              </w:rPr>
            </w:pPr>
          </w:p>
        </w:tc>
      </w:tr>
      <w:tr>
        <w:trPr>
          <w:trHeight w:val="416"/>
        </w:trPr>
        <w:tc>
          <w:tcPr>
            <w:tcW w:w="9000" w:type="dxa"/>
            <w:vAlign w:val="bottom"/>
          </w:tcPr>
          <w:p>
            <w:pPr>
              <w:spacing w:after="0"/>
              <w:rPr>
                <w:sz w:val="20"/>
                <w:szCs w:val="20"/>
                <w:color w:val="auto"/>
              </w:rPr>
            </w:pPr>
            <w:r>
              <w:rPr>
                <w:rFonts w:ascii="Times New Roman" w:cs="Times New Roman" w:eastAsia="Times New Roman" w:hAnsi="Times New Roman"/>
                <w:sz w:val="16"/>
                <w:szCs w:val="16"/>
                <w:color w:val="auto"/>
              </w:rPr>
              <w:t>(a) The following documents are filed as part of this Annual Report on Form 10-K:</w:t>
            </w:r>
          </w:p>
        </w:tc>
        <w:tc>
          <w:tcPr>
            <w:tcW w:w="2260" w:type="dxa"/>
            <w:vAlign w:val="bottom"/>
          </w:tcPr>
          <w:p>
            <w:pPr>
              <w:spacing w:after="0"/>
              <w:rPr>
                <w:sz w:val="24"/>
                <w:szCs w:val="24"/>
                <w:color w:val="auto"/>
              </w:rPr>
            </w:pPr>
          </w:p>
        </w:tc>
      </w:tr>
      <w:tr>
        <w:trPr>
          <w:trHeight w:val="465"/>
        </w:trPr>
        <w:tc>
          <w:tcPr>
            <w:tcW w:w="90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Page</w:t>
            </w:r>
          </w:p>
        </w:tc>
      </w:tr>
      <w:tr>
        <w:trPr>
          <w:trHeight w:val="38"/>
        </w:trPr>
        <w:tc>
          <w:tcPr>
            <w:tcW w:w="90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212"/>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r>
        <w:trPr>
          <w:trHeight w:val="257"/>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r>
      <w:tr>
        <w:trPr>
          <w:trHeight w:val="257"/>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Loss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r>
      <w:tr>
        <w:trPr>
          <w:trHeight w:val="257"/>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Mezzanine Equity and Stockholders’ Deficit</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r>
      <w:tr>
        <w:trPr>
          <w:trHeight w:val="257"/>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r>
      <w:tr>
        <w:trPr>
          <w:trHeight w:val="257"/>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Exhibits: The exhibits listed in the accompanying index to the exhibits are filed or incorporated by reference as part of this Annual Report on Form 10-K.</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Filed or Furnished</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gridSpan w:val="13"/>
          </w:tcPr>
          <w:p>
            <w:pPr>
              <w:ind w:left="320"/>
              <w:spacing w:after="0"/>
              <w:rPr>
                <w:sz w:val="20"/>
                <w:szCs w:val="20"/>
                <w:color w:val="auto"/>
              </w:rPr>
            </w:pPr>
            <w:r>
              <w:rPr>
                <w:rFonts w:ascii="Times New Roman" w:cs="Times New Roman" w:eastAsia="Times New Roman" w:hAnsi="Times New Roman"/>
                <w:sz w:val="16"/>
                <w:szCs w:val="16"/>
                <w:color w:val="auto"/>
              </w:rPr>
              <w:t>Exhibit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File No.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Exhibit No.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Filing Date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Herewith</w:t>
            </w:r>
          </w:p>
        </w:tc>
        <w:tc>
          <w:tcPr>
            <w:tcW w:w="0" w:type="dxa"/>
            <w:vAlign w:val="bottom"/>
          </w:tcPr>
          <w:p>
            <w:pPr>
              <w:spacing w:after="0"/>
              <w:rPr>
                <w:sz w:val="1"/>
                <w:szCs w:val="1"/>
                <w:color w:val="auto"/>
              </w:rPr>
            </w:pPr>
          </w:p>
        </w:tc>
      </w:tr>
      <w:tr>
        <w:trPr>
          <w:trHeight w:val="38"/>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8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Agreement and Plan of Merger, dated as of</w:t>
              </w:r>
            </w:hyperlink>
          </w:p>
        </w:tc>
        <w:tc>
          <w:tcPr>
            <w:tcW w:w="160" w:type="dxa"/>
            <w:vAlign w:val="bottom"/>
            <w:gridSpan w:val="6"/>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April 30, 2021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April 29, 2021, by and among Gores</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bottom w:val="single" w:sz="8" w:color="0000FF"/>
            </w:tcBorders>
            <w:gridSpan w:val="8"/>
          </w:tcPr>
          <w:p>
            <w:pPr>
              <w:spacing w:after="0" w:line="176"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Metropoulos II, Inc., Sunshine Merger Sub</w:t>
              </w:r>
            </w:hyperlink>
          </w:p>
        </w:tc>
        <w:tc>
          <w:tcPr>
            <w:tcW w:w="18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I, Inc., Sunshine Merger Sub II, LLC, and</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Sonder Holdings Inc.</w:t>
              </w:r>
            </w:hyperlink>
          </w:p>
        </w:tc>
        <w:tc>
          <w:tcPr>
            <w:tcW w:w="1340" w:type="dxa"/>
            <w:vAlign w:val="bottom"/>
            <w:tcBorders>
              <w:top w:val="single" w:sz="8" w:color="0000FF"/>
            </w:tcBorders>
            <w:gridSpan w:val="4"/>
          </w:tcPr>
          <w:p>
            <w:pPr>
              <w:spacing w:after="0"/>
              <w:rPr>
                <w:sz w:val="15"/>
                <w:szCs w:val="15"/>
                <w:color w:val="auto"/>
              </w:rPr>
            </w:pPr>
          </w:p>
        </w:tc>
        <w:tc>
          <w:tcPr>
            <w:tcW w:w="260" w:type="dxa"/>
            <w:vAlign w:val="bottom"/>
            <w:gridSpan w:val="8"/>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Amendment No. 1, dated as of October 27,</w:t>
              </w:r>
            </w:hyperlink>
          </w:p>
        </w:tc>
        <w:tc>
          <w:tcPr>
            <w:tcW w:w="100" w:type="dxa"/>
            <w:vAlign w:val="bottom"/>
            <w:gridSpan w:val="4"/>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80" w:type="dxa"/>
            <w:vAlign w:val="bottom"/>
          </w:tcPr>
          <w:p>
            <w:pPr>
              <w:spacing w:after="0"/>
              <w:rPr>
                <w:sz w:val="23"/>
                <w:szCs w:val="2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28, 2021</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11"/>
          </w:tcPr>
          <w:p>
            <w:pPr>
              <w:spacing w:after="0" w:line="176"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2021, by and among Gores Metropoulos II,</w:t>
              </w:r>
            </w:hyperlink>
          </w:p>
        </w:tc>
        <w:tc>
          <w:tcPr>
            <w:tcW w:w="10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Inc., Sunshine Merger Sub I, Inc., Sunshine</w:t>
              </w:r>
            </w:hyperlink>
          </w:p>
        </w:tc>
        <w:tc>
          <w:tcPr>
            <w:tcW w:w="1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Merger Sub II, LLC, and Sonder Holdings</w:t>
              </w:r>
            </w:hyperlink>
          </w:p>
        </w:tc>
        <w:tc>
          <w:tcPr>
            <w:tcW w:w="6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FF"/>
            </w:tcBorders>
          </w:tcPr>
          <w:p>
            <w:pPr>
              <w:spacing w:after="0" w:line="176" w:lineRule="exact"/>
              <w:rPr>
                <w:rFonts w:ascii="Times New Roman" w:cs="Times New Roman" w:eastAsia="Times New Roman" w:hAnsi="Times New Roman"/>
                <w:sz w:val="16"/>
                <w:szCs w:val="16"/>
                <w:color w:val="0000FF"/>
                <w:w w:val="98"/>
              </w:rPr>
            </w:pPr>
            <w:hyperlink r:id="rId226">
              <w:r>
                <w:rPr>
                  <w:rFonts w:ascii="Times New Roman" w:cs="Times New Roman" w:eastAsia="Times New Roman" w:hAnsi="Times New Roman"/>
                  <w:sz w:val="16"/>
                  <w:szCs w:val="16"/>
                  <w:color w:val="0000FF"/>
                  <w:w w:val="98"/>
                </w:rPr>
                <w:t>Inc.</w:t>
              </w:r>
            </w:hyperlink>
          </w:p>
        </w:tc>
        <w:tc>
          <w:tcPr>
            <w:tcW w:w="2740" w:type="dxa"/>
            <w:vAlign w:val="bottom"/>
            <w:gridSpan w:val="1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Amended  and  Restated  Certificate  of</w:t>
              </w:r>
            </w:hyperlink>
          </w:p>
        </w:tc>
        <w:tc>
          <w:tcPr>
            <w:tcW w:w="100" w:type="dxa"/>
            <w:vAlign w:val="bottom"/>
            <w:gridSpan w:val="4"/>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January 24, 2022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Incorporation of Sonder Holdings Inc.</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Certificate of Amendment of Amended and</w:t>
              </w:r>
            </w:hyperlink>
          </w:p>
        </w:tc>
        <w:tc>
          <w:tcPr>
            <w:tcW w:w="100" w:type="dxa"/>
            <w:vAlign w:val="bottom"/>
            <w:gridSpan w:val="4"/>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3"/>
                <w:szCs w:val="2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19, 2023</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bottom w:val="single" w:sz="8" w:color="0000FF"/>
            </w:tcBorders>
            <w:gridSpan w:val="12"/>
          </w:tcPr>
          <w:p>
            <w:pPr>
              <w:spacing w:after="0" w:line="176"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Restated  Certificate  of  Incorporation  of</w:t>
              </w:r>
            </w:hyperlink>
          </w:p>
        </w:tc>
        <w:tc>
          <w:tcPr>
            <w:tcW w:w="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Sonder Holdings, Inc</w:t>
              </w:r>
              <w:r>
                <w:rPr>
                  <w:rFonts w:ascii="Times New Roman" w:cs="Times New Roman" w:eastAsia="Times New Roman" w:hAnsi="Times New Roman"/>
                  <w:sz w:val="16"/>
                  <w:szCs w:val="16"/>
                  <w:color w:val="000000"/>
                </w:rPr>
                <w:t>.</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Certificate  of  Designation  of  Powers,</w:t>
              </w:r>
            </w:hyperlink>
          </w:p>
        </w:tc>
        <w:tc>
          <w:tcPr>
            <w:tcW w:w="100" w:type="dxa"/>
            <w:vAlign w:val="bottom"/>
            <w:gridSpan w:val="4"/>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3"/>
                <w:szCs w:val="2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August 19, 2024</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11"/>
          </w:tcPr>
          <w:p>
            <w:pPr>
              <w:spacing w:after="0" w:line="176"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Preferences  and  Rights  of  Series  A</w:t>
              </w:r>
            </w:hyperlink>
          </w:p>
        </w:tc>
        <w:tc>
          <w:tcPr>
            <w:tcW w:w="10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Convertible Preferred Stock</w:t>
              </w:r>
            </w:hyperlink>
          </w:p>
        </w:tc>
        <w:tc>
          <w:tcPr>
            <w:tcW w:w="1160" w:type="dxa"/>
            <w:vAlign w:val="bottom"/>
            <w:gridSpan w:val="11"/>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Amended and Restated Bylaws of Sonder</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30, 2022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0000FF"/>
              <w:bottom w:val="single" w:sz="8" w:color="0000FF"/>
            </w:tcBorders>
            <w:gridSpan w:val="2"/>
          </w:tcPr>
          <w:p>
            <w:pPr>
              <w:spacing w:after="0" w:line="176"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Holdings Inc.</w:t>
              </w:r>
            </w:hyperlink>
          </w:p>
        </w:tc>
        <w:tc>
          <w:tcPr>
            <w:tcW w:w="1980" w:type="dxa"/>
            <w:vAlign w:val="bottom"/>
            <w:tcBorders>
              <w:top w:val="single" w:sz="8" w:color="0000FF"/>
            </w:tcBorders>
            <w:gridSpan w:val="8"/>
          </w:tcPr>
          <w:p>
            <w:pPr>
              <w:spacing w:after="0"/>
              <w:rPr>
                <w:sz w:val="15"/>
                <w:szCs w:val="15"/>
                <w:color w:val="auto"/>
              </w:rPr>
            </w:pPr>
          </w:p>
        </w:tc>
        <w:tc>
          <w:tcPr>
            <w:tcW w:w="12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3"/>
                <w:szCs w:val="23"/>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Specimen Stock Certificate of the Company</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3"/>
                <w:szCs w:val="2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January 24, 2022</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0"/>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2"/>
          </w:tcPr>
          <w:p>
            <w:pPr>
              <w:jc w:val="right"/>
              <w:ind w:right="778"/>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40" w:type="dxa"/>
            <w:vAlign w:val="bottom"/>
          </w:tcPr>
          <w:p>
            <w:pPr>
              <w:spacing w:after="0"/>
              <w:rPr>
                <w:sz w:val="18"/>
                <w:szCs w:val="18"/>
                <w:color w:val="auto"/>
              </w:rPr>
            </w:pPr>
          </w:p>
        </w:tc>
      </w:tr>
      <w:tr>
        <w:trPr>
          <w:trHeight w:val="38"/>
        </w:trPr>
        <w:tc>
          <w:tcPr>
            <w:tcW w:w="12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39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Exhibit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Form</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File No.</w:t>
            </w: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 No.</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Filing Date</w:t>
            </w:r>
          </w:p>
        </w:tc>
      </w:tr>
      <w:tr>
        <w:trPr>
          <w:trHeight w:val="38"/>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3000" w:type="dxa"/>
            <w:vAlign w:val="bottom"/>
            <w:gridSpan w:val="21"/>
          </w:tcPr>
          <w:p>
            <w:pPr>
              <w:spacing w:after="0" w:line="176" w:lineRule="exact"/>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Specimen  Warrant  Certificate  of  the</w:t>
              </w:r>
            </w:hyperlink>
          </w:p>
        </w:tc>
        <w:tc>
          <w:tcPr>
            <w:tcW w:w="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333-251663</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December 23, 2020</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9"/>
              </w:rPr>
            </w:pPr>
            <w:hyperlink r:id="rId234">
              <w:r>
                <w:rPr>
                  <w:rFonts w:ascii="Times New Roman" w:cs="Times New Roman" w:eastAsia="Times New Roman" w:hAnsi="Times New Roman"/>
                  <w:sz w:val="16"/>
                  <w:szCs w:val="16"/>
                  <w:color w:val="0000FF"/>
                  <w:w w:val="99"/>
                </w:rPr>
                <w:t>Company</w:t>
              </w:r>
            </w:hyperlink>
          </w:p>
        </w:tc>
        <w:tc>
          <w:tcPr>
            <w:tcW w:w="26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3"/>
                <w:szCs w:val="23"/>
                <w:color w:val="auto"/>
              </w:rPr>
            </w:pPr>
          </w:p>
        </w:tc>
        <w:tc>
          <w:tcPr>
            <w:tcW w:w="29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Warrant Agreement, dated as of January 22,</w:t>
              </w:r>
            </w:hyperlink>
          </w:p>
        </w:tc>
        <w:tc>
          <w:tcPr>
            <w:tcW w:w="80" w:type="dxa"/>
            <w:vAlign w:val="bottom"/>
            <w:gridSpan w:val="2"/>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25, 2021</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2021, by and among Gores Metropoulos II,</w:t>
              </w:r>
            </w:hyperlink>
          </w:p>
        </w:tc>
        <w:tc>
          <w:tcPr>
            <w:tcW w:w="8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0000FF"/>
            </w:tcBorders>
          </w:tcPr>
          <w:p>
            <w:pPr>
              <w:spacing w:after="0" w:line="176"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Inc.,</w:t>
              </w:r>
            </w:hyperlink>
          </w:p>
        </w:tc>
        <w:tc>
          <w:tcPr>
            <w:tcW w:w="1140" w:type="dxa"/>
            <w:vAlign w:val="bottom"/>
            <w:tcBorders>
              <w:bottom w:val="single" w:sz="8" w:color="0000FF"/>
            </w:tcBorders>
            <w:gridSpan w:val="5"/>
          </w:tcPr>
          <w:p>
            <w:pPr>
              <w:ind w:left="20"/>
              <w:spacing w:after="0" w:line="176"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Computershare</w:t>
              </w:r>
            </w:hyperlink>
          </w:p>
        </w:tc>
        <w:tc>
          <w:tcPr>
            <w:tcW w:w="820" w:type="dxa"/>
            <w:vAlign w:val="bottom"/>
            <w:tcBorders>
              <w:bottom w:val="single" w:sz="8" w:color="0000FF"/>
            </w:tcBorders>
            <w:gridSpan w:val="7"/>
          </w:tcPr>
          <w:p>
            <w:pPr>
              <w:ind w:left="240"/>
              <w:spacing w:after="0" w:line="176"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Inc.,</w:t>
              </w:r>
            </w:hyperlink>
          </w:p>
        </w:tc>
        <w:tc>
          <w:tcPr>
            <w:tcW w:w="320" w:type="dxa"/>
            <w:vAlign w:val="bottom"/>
            <w:tcBorders>
              <w:bottom w:val="single" w:sz="8" w:color="0000FF"/>
            </w:tcBorders>
            <w:gridSpan w:val="6"/>
          </w:tcPr>
          <w:p>
            <w:pPr>
              <w:ind w:left="60"/>
              <w:spacing w:after="0" w:line="176" w:lineRule="exact"/>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and</w:t>
              </w:r>
            </w:hyperlink>
          </w:p>
        </w:tc>
        <w:tc>
          <w:tcPr>
            <w:tcW w:w="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Computershare Trust Company, N.A., as</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warrant agent</w:t>
              </w:r>
            </w:hyperlink>
          </w:p>
        </w:tc>
        <w:tc>
          <w:tcPr>
            <w:tcW w:w="880" w:type="dxa"/>
            <w:vAlign w:val="bottom"/>
            <w:tcBorders>
              <w:top w:val="single" w:sz="8" w:color="0000FF"/>
            </w:tcBorders>
            <w:gridSpan w:val="4"/>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3"/>
                <w:szCs w:val="23"/>
                <w:color w:val="auto"/>
              </w:rPr>
            </w:pPr>
          </w:p>
        </w:tc>
        <w:tc>
          <w:tcPr>
            <w:tcW w:w="290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Form of Warrant Agreement by and among</w:t>
              </w:r>
            </w:hyperlink>
          </w:p>
        </w:tc>
        <w:tc>
          <w:tcPr>
            <w:tcW w:w="100" w:type="dxa"/>
            <w:vAlign w:val="bottom"/>
            <w:gridSpan w:val="3"/>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333-262438</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31,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Sonder Holdings Inc., Computershare Inc.,</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21"/>
          </w:tcPr>
          <w:p>
            <w:pPr>
              <w:spacing w:after="0" w:line="176"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and Computershare Trust Company, N.A.,</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dated January 19, 2022</w:t>
              </w:r>
            </w:hyperlink>
          </w:p>
        </w:tc>
        <w:tc>
          <w:tcPr>
            <w:tcW w:w="260" w:type="dxa"/>
            <w:vAlign w:val="bottom"/>
            <w:tcBorders>
              <w:top w:val="single" w:sz="8" w:color="0000FF"/>
            </w:tcBorders>
            <w:gridSpan w:val="2"/>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Description of Securities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276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Form of Existing Subscription Agreement</w:t>
              </w:r>
            </w:hyperlink>
          </w:p>
        </w:tc>
        <w:tc>
          <w:tcPr>
            <w:tcW w:w="240" w:type="dxa"/>
            <w:vAlign w:val="bottom"/>
            <w:gridSpan w:val="6"/>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30, 2021</w:t>
            </w: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Form   of   Amendment   to   Existing</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28, 2021</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Subscription Agreement</w:t>
              </w:r>
            </w:hyperlink>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3"/>
                <w:szCs w:val="23"/>
                <w:color w:val="auto"/>
              </w:rPr>
            </w:pPr>
          </w:p>
        </w:tc>
        <w:tc>
          <w:tcPr>
            <w:tcW w:w="25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Form of New Subscription Agreement</w:t>
              </w:r>
            </w:hyperlink>
          </w:p>
        </w:tc>
        <w:tc>
          <w:tcPr>
            <w:tcW w:w="8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28, 2021</w:t>
            </w: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29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Amended and Restated Registration Rights</w:t>
              </w:r>
            </w:hyperlink>
          </w:p>
        </w:tc>
        <w:tc>
          <w:tcPr>
            <w:tcW w:w="8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18"/>
          </w:tcPr>
          <w:p>
            <w:pPr>
              <w:spacing w:after="0" w:line="176"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Agreement, by and among Sonder Holdings</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bottom w:val="single" w:sz="8" w:color="0000FF"/>
            </w:tcBorders>
            <w:gridSpan w:val="19"/>
          </w:tcPr>
          <w:p>
            <w:pPr>
              <w:spacing w:after="0" w:line="176"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Inc.  (f/k/a  Gores  Metropoulos  II,  Inc.),</w:t>
              </w:r>
            </w:hyperlink>
          </w:p>
        </w:tc>
        <w:tc>
          <w:tcPr>
            <w:tcW w:w="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21"/>
          </w:tcPr>
          <w:p>
            <w:pPr>
              <w:spacing w:after="0" w:line="176"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Gores Metropoulos Sponsor II, LLC, the</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12"/>
          </w:tcPr>
          <w:p>
            <w:pPr>
              <w:spacing w:after="0" w:line="176"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Gores Holders and the Sonder Holders</w:t>
              </w:r>
            </w:hyperlink>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3"/>
                <w:szCs w:val="23"/>
                <w:color w:val="auto"/>
              </w:rPr>
            </w:pPr>
          </w:p>
        </w:tc>
        <w:tc>
          <w:tcPr>
            <w:tcW w:w="23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Management Equity Incentive Plan</w:t>
              </w:r>
            </w:hyperlink>
          </w:p>
        </w:tc>
        <w:tc>
          <w:tcPr>
            <w:tcW w:w="28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7, 2021</w:t>
            </w: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4"/>
                <w:szCs w:val="24"/>
                <w:color w:val="auto"/>
              </w:rPr>
            </w:pPr>
          </w:p>
        </w:tc>
        <w:tc>
          <w:tcPr>
            <w:tcW w:w="290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Form of Restricted Stock Unit Agreement</w:t>
              </w:r>
            </w:hyperlink>
          </w:p>
        </w:tc>
        <w:tc>
          <w:tcPr>
            <w:tcW w:w="10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under Management Equity Incentive Plan</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3"/>
                <w:szCs w:val="23"/>
                <w:color w:val="auto"/>
              </w:rPr>
            </w:pPr>
          </w:p>
        </w:tc>
        <w:tc>
          <w:tcPr>
            <w:tcW w:w="17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2021 Equity Incentive Plan</w:t>
              </w:r>
            </w:hyperlink>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13, 2021</w:t>
            </w: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4"/>
                <w:szCs w:val="24"/>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Form  of  Option  Agreement  under  2021</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top w:val="single" w:sz="8" w:color="0000FF"/>
            </w:tcBorders>
            <w:gridSpan w:val="6"/>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Equity Incentive Plan</w:t>
              </w:r>
            </w:hyperlink>
          </w:p>
        </w:tc>
        <w:tc>
          <w:tcPr>
            <w:tcW w:w="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3"/>
                <w:szCs w:val="23"/>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Form of Restricted Stock Unit Agreement</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under 2021 Equity Incentive Plan</w:t>
              </w:r>
            </w:hyperlink>
          </w:p>
        </w:tc>
        <w:tc>
          <w:tcPr>
            <w:tcW w:w="400" w:type="dxa"/>
            <w:vAlign w:val="bottom"/>
            <w:tcBorders>
              <w:top w:val="single" w:sz="8" w:color="0000FF"/>
            </w:tcBorders>
            <w:gridSpan w:val="6"/>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3"/>
                <w:szCs w:val="23"/>
                <w:color w:val="auto"/>
              </w:rPr>
            </w:pPr>
          </w:p>
        </w:tc>
        <w:tc>
          <w:tcPr>
            <w:tcW w:w="28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246">
              <w:r>
                <w:rPr>
                  <w:rFonts w:ascii="Times New Roman" w:cs="Times New Roman" w:eastAsia="Times New Roman" w:hAnsi="Times New Roman"/>
                  <w:sz w:val="16"/>
                  <w:szCs w:val="16"/>
                  <w:color w:val="0000FF"/>
                </w:rPr>
                <w:t>Legacy Sonder 2019 Equity Incentive Plan</w:t>
              </w:r>
            </w:hyperlink>
          </w:p>
        </w:tc>
        <w:tc>
          <w:tcPr>
            <w:tcW w:w="180" w:type="dxa"/>
            <w:vAlign w:val="bottom"/>
            <w:gridSpan w:val="5"/>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24"/>
                <w:szCs w:val="24"/>
                <w:color w:val="auto"/>
              </w:rPr>
            </w:pPr>
          </w:p>
        </w:tc>
        <w:tc>
          <w:tcPr>
            <w:tcW w:w="3000" w:type="dxa"/>
            <w:vAlign w:val="bottom"/>
            <w:gridSpan w:val="21"/>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Form of Option Agreement under Legacy</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Sonder 2019 Equity Incentive Plan</w:t>
              </w:r>
            </w:hyperlink>
          </w:p>
        </w:tc>
        <w:tc>
          <w:tcPr>
            <w:tcW w:w="300" w:type="dxa"/>
            <w:vAlign w:val="bottom"/>
            <w:tcBorders>
              <w:top w:val="single" w:sz="8" w:color="0000FF"/>
            </w:tcBorders>
            <w:gridSpan w:val="4"/>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23"/>
                <w:szCs w:val="23"/>
                <w:color w:val="auto"/>
              </w:rPr>
            </w:pPr>
          </w:p>
        </w:tc>
        <w:tc>
          <w:tcPr>
            <w:tcW w:w="2600" w:type="dxa"/>
            <w:vAlign w:val="bottom"/>
            <w:gridSpan w:val="13"/>
          </w:tcPr>
          <w:p>
            <w:pPr>
              <w:spacing w:after="0"/>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Legacy Sonder Stock Option Plan</w:t>
              </w:r>
            </w:hyperlink>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92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170420"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16"/>
          <w:szCs w:val="16"/>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-15875</wp:posOffset>
            </wp:positionV>
            <wp:extent cx="97155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9640" w:space="240"/>
            <w:col w:w="1200"/>
          </w:cols>
          <w:pgMar w:left="320" w:top="123"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60" w:type="dxa"/>
            <w:vAlign w:val="bottom"/>
          </w:tcPr>
          <w:p>
            <w:pPr>
              <w:spacing w:after="0"/>
              <w:rPr>
                <w:sz w:val="18"/>
                <w:szCs w:val="18"/>
                <w:color w:val="auto"/>
              </w:rPr>
            </w:pPr>
          </w:p>
        </w:tc>
      </w:tr>
      <w:tr>
        <w:trPr>
          <w:trHeight w:val="38"/>
        </w:trPr>
        <w:tc>
          <w:tcPr>
            <w:tcW w:w="12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39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10"/>
          </w:tcPr>
          <w:p>
            <w:pPr>
              <w:ind w:left="220"/>
              <w:spacing w:after="0"/>
              <w:rPr>
                <w:sz w:val="20"/>
                <w:szCs w:val="20"/>
                <w:color w:val="auto"/>
              </w:rPr>
            </w:pPr>
            <w:r>
              <w:rPr>
                <w:rFonts w:ascii="Times New Roman" w:cs="Times New Roman" w:eastAsia="Times New Roman" w:hAnsi="Times New Roman"/>
                <w:sz w:val="16"/>
                <w:szCs w:val="16"/>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Form</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File No.</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Filing Date</w:t>
            </w:r>
          </w:p>
        </w:tc>
      </w:tr>
      <w:tr>
        <w:trPr>
          <w:trHeight w:val="38"/>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5"/>
                <w:szCs w:val="15"/>
                <w:color w:val="auto"/>
              </w:rPr>
            </w:pPr>
          </w:p>
        </w:tc>
        <w:tc>
          <w:tcPr>
            <w:tcW w:w="2900" w:type="dxa"/>
            <w:vAlign w:val="bottom"/>
            <w:tcBorders>
              <w:bottom w:val="single" w:sz="8" w:color="0000FF"/>
            </w:tcBorders>
            <w:gridSpan w:val="11"/>
          </w:tcPr>
          <w:p>
            <w:pPr>
              <w:spacing w:after="0" w:line="176" w:lineRule="exact"/>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Sonder  Holdings  Inc.  2023  Inducement</w:t>
              </w:r>
            </w:hyperlink>
          </w:p>
        </w:tc>
        <w:tc>
          <w:tcPr>
            <w:tcW w:w="100" w:type="dxa"/>
            <w:vAlign w:val="bottom"/>
            <w:gridSpan w:val="4"/>
          </w:tcPr>
          <w:p>
            <w:pPr>
              <w:spacing w:after="0"/>
              <w:rPr>
                <w:sz w:val="15"/>
                <w:szCs w:val="15"/>
                <w:color w:val="auto"/>
              </w:rPr>
            </w:pPr>
          </w:p>
        </w:tc>
        <w:tc>
          <w:tcPr>
            <w:tcW w:w="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January 24,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Equity Incentive Plan</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60"/>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24"/>
                <w:szCs w:val="24"/>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Amendment No. 1 to Sonder Holdings Inc.</w:t>
              </w:r>
            </w:hyperlink>
          </w:p>
        </w:tc>
        <w:tc>
          <w:tcPr>
            <w:tcW w:w="100" w:type="dxa"/>
            <w:vAlign w:val="bottom"/>
            <w:gridSpan w:val="4"/>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24,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Inducement Equity Incentive Plan</w:t>
              </w:r>
            </w:hyperlink>
          </w:p>
        </w:tc>
        <w:tc>
          <w:tcPr>
            <w:tcW w:w="760" w:type="dxa"/>
            <w:vAlign w:val="bottom"/>
            <w:gridSpan w:val="8"/>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11"/>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Form of Option Award Agreement under</w:t>
              </w:r>
            </w:hyperlink>
          </w:p>
        </w:tc>
        <w:tc>
          <w:tcPr>
            <w:tcW w:w="6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2023 Inducement Equity Incentive Plan</w:t>
              </w:r>
            </w:hyperlink>
          </w:p>
        </w:tc>
        <w:tc>
          <w:tcPr>
            <w:tcW w:w="400" w:type="dxa"/>
            <w:vAlign w:val="bottom"/>
            <w:gridSpan w:val="6"/>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Form of Restricted Stock Unit Agreement</w:t>
              </w:r>
            </w:hyperlink>
          </w:p>
        </w:tc>
        <w:tc>
          <w:tcPr>
            <w:tcW w:w="100" w:type="dxa"/>
            <w:vAlign w:val="bottom"/>
            <w:gridSpan w:val="4"/>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54">
              <w:r>
                <w:rPr>
                  <w:rFonts w:ascii="Times New Roman" w:cs="Times New Roman" w:eastAsia="Times New Roman" w:hAnsi="Times New Roman"/>
                  <w:sz w:val="16"/>
                  <w:szCs w:val="16"/>
                  <w:color w:val="0000FF"/>
                </w:rPr>
                <w:t>under 2023 Inducement Equity Incentive</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6"/>
                <w:szCs w:val="16"/>
                <w:color w:val="0000FF"/>
                <w:w w:val="98"/>
              </w:rPr>
            </w:pPr>
            <w:hyperlink r:id="rId254">
              <w:r>
                <w:rPr>
                  <w:rFonts w:ascii="Times New Roman" w:cs="Times New Roman" w:eastAsia="Times New Roman" w:hAnsi="Times New Roman"/>
                  <w:sz w:val="16"/>
                  <w:szCs w:val="16"/>
                  <w:color w:val="0000FF"/>
                  <w:w w:val="98"/>
                </w:rPr>
                <w:t>Plan</w:t>
              </w:r>
            </w:hyperlink>
          </w:p>
        </w:tc>
        <w:tc>
          <w:tcPr>
            <w:tcW w:w="2580" w:type="dxa"/>
            <w:vAlign w:val="bottom"/>
            <w:tcBorders>
              <w:top w:val="single" w:sz="8" w:color="0000FF"/>
            </w:tcBorders>
            <w:gridSpan w:val="9"/>
          </w:tcPr>
          <w:p>
            <w:pPr>
              <w:spacing w:after="0"/>
              <w:rPr>
                <w:sz w:val="15"/>
                <w:szCs w:val="15"/>
                <w:color w:val="auto"/>
              </w:rPr>
            </w:pPr>
          </w:p>
        </w:tc>
        <w:tc>
          <w:tcPr>
            <w:tcW w:w="12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24"/>
                <w:szCs w:val="24"/>
                <w:color w:val="auto"/>
              </w:rPr>
            </w:pPr>
          </w:p>
        </w:tc>
        <w:tc>
          <w:tcPr>
            <w:tcW w:w="29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Key  Executive  Change  in  Control  and</w:t>
              </w:r>
            </w:hyperlink>
          </w:p>
        </w:tc>
        <w:tc>
          <w:tcPr>
            <w:tcW w:w="8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18, 2021</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Severance  Plan  and  related  forms  of</w:t>
              </w:r>
            </w:hyperlink>
          </w:p>
        </w:tc>
        <w:tc>
          <w:tcPr>
            <w:tcW w:w="1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55">
              <w:r>
                <w:rPr>
                  <w:rFonts w:ascii="Times New Roman" w:cs="Times New Roman" w:eastAsia="Times New Roman" w:hAnsi="Times New Roman"/>
                  <w:sz w:val="16"/>
                  <w:szCs w:val="16"/>
                  <w:color w:val="0000FF"/>
                </w:rPr>
                <w:t>agreement</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4"/>
                <w:szCs w:val="24"/>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2021 Employee Stock Purchase Plan</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26, 2021</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24"/>
                <w:szCs w:val="24"/>
                <w:color w:val="auto"/>
              </w:rPr>
            </w:pPr>
          </w:p>
        </w:tc>
        <w:tc>
          <w:tcPr>
            <w:tcW w:w="29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2023 Key Executive Change in Control and</w:t>
              </w:r>
            </w:hyperlink>
          </w:p>
        </w:tc>
        <w:tc>
          <w:tcPr>
            <w:tcW w:w="8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12, 2023</w:t>
            </w: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Severance Plan</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Offer Letter from Sonder Holdings Inc. to</w:t>
              </w:r>
            </w:hyperlink>
          </w:p>
        </w:tc>
        <w:tc>
          <w:tcPr>
            <w:tcW w:w="100" w:type="dxa"/>
            <w:vAlign w:val="bottom"/>
            <w:gridSpan w:val="4"/>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17, 2021</w:t>
            </w: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Francis  Davidson,  dated  September  14,</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0000FF"/>
              <w:bottom w:val="single" w:sz="8" w:color="0000FF"/>
            </w:tcBorders>
            <w:gridSpan w:val="2"/>
          </w:tcPr>
          <w:p>
            <w:pPr>
              <w:spacing w:after="0" w:line="176" w:lineRule="exact"/>
              <w:rPr>
                <w:rFonts w:ascii="Times New Roman" w:cs="Times New Roman" w:eastAsia="Times New Roman" w:hAnsi="Times New Roman"/>
                <w:sz w:val="16"/>
                <w:szCs w:val="16"/>
                <w:color w:val="0000FF"/>
                <w:w w:val="99"/>
              </w:rPr>
            </w:pPr>
            <w:hyperlink r:id="rId258">
              <w:r>
                <w:rPr>
                  <w:rFonts w:ascii="Times New Roman" w:cs="Times New Roman" w:eastAsia="Times New Roman" w:hAnsi="Times New Roman"/>
                  <w:sz w:val="16"/>
                  <w:szCs w:val="16"/>
                  <w:color w:val="0000FF"/>
                  <w:w w:val="99"/>
                </w:rPr>
                <w:t>2021</w:t>
              </w:r>
            </w:hyperlink>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23"/>
                <w:szCs w:val="23"/>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Agreement between Dominique Bourgault</w:t>
              </w:r>
            </w:hyperlink>
          </w:p>
        </w:tc>
        <w:tc>
          <w:tcPr>
            <w:tcW w:w="100" w:type="dxa"/>
            <w:vAlign w:val="bottom"/>
            <w:gridSpan w:val="4"/>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10, 2023</w:t>
            </w: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and Sonder USA Inc., dated February 23,</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0000FF"/>
              <w:bottom w:val="single" w:sz="8" w:color="0000FF"/>
            </w:tcBorders>
            <w:gridSpan w:val="2"/>
          </w:tcPr>
          <w:p>
            <w:pPr>
              <w:spacing w:after="0" w:line="176" w:lineRule="exact"/>
              <w:rPr>
                <w:rFonts w:ascii="Times New Roman" w:cs="Times New Roman" w:eastAsia="Times New Roman" w:hAnsi="Times New Roman"/>
                <w:sz w:val="16"/>
                <w:szCs w:val="16"/>
                <w:color w:val="0000FF"/>
                <w:w w:val="99"/>
              </w:rPr>
            </w:pPr>
            <w:hyperlink r:id="rId259">
              <w:r>
                <w:rPr>
                  <w:rFonts w:ascii="Times New Roman" w:cs="Times New Roman" w:eastAsia="Times New Roman" w:hAnsi="Times New Roman"/>
                  <w:sz w:val="16"/>
                  <w:szCs w:val="16"/>
                  <w:color w:val="0000FF"/>
                  <w:w w:val="99"/>
                </w:rPr>
                <w:t>2023</w:t>
              </w:r>
            </w:hyperlink>
          </w:p>
        </w:tc>
        <w:tc>
          <w:tcPr>
            <w:tcW w:w="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23"/>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24"/>
                <w:szCs w:val="24"/>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Employment Agreement by and between</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top w:val="single" w:sz="8" w:color="0000FF"/>
            </w:tcBorders>
            <w:gridSpan w:val="10"/>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Sonder USA Inc. and Martin Picard</w:t>
              </w:r>
            </w:hyperlink>
          </w:p>
        </w:tc>
        <w:tc>
          <w:tcPr>
            <w:tcW w:w="120" w:type="dxa"/>
            <w:vAlign w:val="bottom"/>
            <w:gridSpan w:val="5"/>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23"/>
                <w:szCs w:val="23"/>
                <w:color w:val="auto"/>
              </w:rPr>
            </w:pPr>
          </w:p>
        </w:tc>
        <w:tc>
          <w:tcPr>
            <w:tcW w:w="3000" w:type="dxa"/>
            <w:vAlign w:val="bottom"/>
            <w:gridSpan w:val="15"/>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Sonder  Holdings  Inc.  Amended  and</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14, 2023</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Restated  Outside  Director  Compensation</w:t>
              </w:r>
            </w:hyperlink>
          </w:p>
        </w:tc>
        <w:tc>
          <w:tcPr>
            <w:tcW w:w="1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Policy</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24"/>
                <w:szCs w:val="24"/>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Note  and  Warrant  Purchase  Agreement,</w:t>
              </w:r>
            </w:hyperlink>
          </w:p>
        </w:tc>
        <w:tc>
          <w:tcPr>
            <w:tcW w:w="100" w:type="dxa"/>
            <w:vAlign w:val="bottom"/>
            <w:gridSpan w:val="4"/>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S-4/A</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333-257726</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13, 2021</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dated December 10, 2021, by and among</w:t>
              </w:r>
            </w:hyperlink>
          </w:p>
        </w:tc>
        <w:tc>
          <w:tcPr>
            <w:tcW w:w="1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5"/>
          </w:tcPr>
          <w:p>
            <w:pPr>
              <w:spacing w:after="0" w:line="176"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Sonder Holdings Inc., BlackRock Financial</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p>
    <w:p>
      <w:pPr>
        <w:ind w:left="1220"/>
        <w:spacing w:after="0"/>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Management, Inc. - Fixed Income Group,</w:t>
        </w:r>
      </w:hyperlink>
    </w:p>
    <w:p>
      <w:pPr>
        <w:spacing w:after="0" w:line="27" w:lineRule="exact"/>
        <w:rPr>
          <w:sz w:val="20"/>
          <w:szCs w:val="20"/>
          <w:color w:val="auto"/>
        </w:rPr>
      </w:pPr>
    </w:p>
    <w:p>
      <w:pPr>
        <w:ind w:left="1220"/>
        <w:spacing w:after="0"/>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on  behalf  of  funds  and  accounts  under</w:t>
        </w:r>
      </w:hyperlink>
    </w:p>
    <w:p>
      <w:pPr>
        <w:spacing w:after="0" w:line="24" w:lineRule="exact"/>
        <w:rPr>
          <w:sz w:val="20"/>
          <w:szCs w:val="20"/>
          <w:color w:val="auto"/>
        </w:rPr>
      </w:pPr>
    </w:p>
    <w:p>
      <w:pPr>
        <w:ind w:left="1220"/>
        <w:spacing w:after="0"/>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management and Senator Investment Group</w:t>
        </w:r>
      </w:hyperlink>
    </w:p>
    <w:p>
      <w:pPr>
        <w:spacing w:after="0" w:line="12" w:lineRule="exact"/>
        <w:rPr>
          <w:sz w:val="20"/>
          <w:szCs w:val="20"/>
          <w:color w:val="auto"/>
        </w:rPr>
      </w:pPr>
    </w:p>
    <w:p>
      <w:pPr>
        <w:ind w:left="1220"/>
        <w:spacing w:after="0"/>
        <w:rPr>
          <w:rFonts w:ascii="Times New Roman" w:cs="Times New Roman" w:eastAsia="Times New Roman" w:hAnsi="Times New Roman"/>
          <w:sz w:val="16"/>
          <w:szCs w:val="16"/>
          <w:u w:val="single" w:color="auto"/>
          <w:color w:val="0000FF"/>
        </w:rPr>
      </w:pPr>
      <w:hyperlink r:id="rId262">
        <w:r>
          <w:rPr>
            <w:rFonts w:ascii="Times New Roman" w:cs="Times New Roman" w:eastAsia="Times New Roman" w:hAnsi="Times New Roman"/>
            <w:sz w:val="16"/>
            <w:szCs w:val="16"/>
            <w:u w:val="single" w:color="auto"/>
            <w:color w:val="0000FF"/>
          </w:rPr>
          <w:t>L.P.</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67310</wp:posOffset>
            </wp:positionV>
            <wp:extent cx="7170420"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16"/>
          <w:szCs w:val="16"/>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-15875</wp:posOffset>
            </wp:positionV>
            <wp:extent cx="9715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sectPr>
          <w:pgSz w:w="11900" w:h="16838" w:orient="portrait"/>
          <w:cols w:equalWidth="0" w:num="2">
            <w:col w:w="9640" w:space="240"/>
            <w:col w:w="1200"/>
          </w:cols>
          <w:pgMar w:left="320" w:top="123"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4"/>
          </w:tcPr>
          <w:p>
            <w:pPr>
              <w:ind w:left="100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60" w:type="dxa"/>
            <w:vAlign w:val="bottom"/>
          </w:tcPr>
          <w:p>
            <w:pPr>
              <w:spacing w:after="0"/>
              <w:rPr>
                <w:sz w:val="18"/>
                <w:szCs w:val="18"/>
                <w:color w:val="auto"/>
              </w:rPr>
            </w:pPr>
          </w:p>
        </w:tc>
      </w:tr>
      <w:tr>
        <w:trPr>
          <w:trHeight w:val="38"/>
        </w:trPr>
        <w:tc>
          <w:tcPr>
            <w:tcW w:w="122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395"/>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16"/>
                <w:szCs w:val="16"/>
                <w:color w:val="auto"/>
              </w:rPr>
              <w:t>Exhibit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Form</w:t>
            </w: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File No.</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 No.</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Filing Date</w:t>
            </w:r>
          </w:p>
        </w:tc>
      </w:tr>
      <w:tr>
        <w:trPr>
          <w:trHeight w:val="38"/>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Omnibus   Amendment,   dated   as   of</w:t>
              </w:r>
            </w:hyperlink>
          </w:p>
        </w:tc>
        <w:tc>
          <w:tcPr>
            <w:tcW w:w="100" w:type="dxa"/>
            <w:vAlign w:val="bottom"/>
            <w:gridSpan w:val="3"/>
          </w:tcPr>
          <w:p>
            <w:pPr>
              <w:spacing w:after="0"/>
              <w:rPr>
                <w:sz w:val="15"/>
                <w:szCs w:val="15"/>
                <w:color w:val="auto"/>
              </w:rPr>
            </w:pPr>
          </w:p>
        </w:tc>
        <w:tc>
          <w:tcPr>
            <w:tcW w:w="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ind w:left="420"/>
              <w:spacing w:after="0" w:line="176" w:lineRule="exact"/>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10.29</w:t>
            </w:r>
          </w:p>
        </w:tc>
        <w:tc>
          <w:tcPr>
            <w:tcW w:w="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March 16,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December 21, 2022, by and among Sonder</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Holdings  Inc.,  Sonder  Holdings  LLC,</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Sonder USA Inc., Sonder Hospitality USA</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Inc., and Sonder USA, the guarantors party</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thereto, the investors listed on the signature</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pages thereto, and Alter Domus (US) LLC,</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as collateral agent</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23"/>
                <w:szCs w:val="23"/>
                <w:color w:val="auto"/>
              </w:rPr>
            </w:pPr>
          </w:p>
        </w:tc>
        <w:tc>
          <w:tcPr>
            <w:tcW w:w="29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Loan and Security Agreement dated as of</w:t>
              </w:r>
            </w:hyperlink>
          </w:p>
        </w:tc>
        <w:tc>
          <w:tcPr>
            <w:tcW w:w="80" w:type="dxa"/>
            <w:vAlign w:val="bottom"/>
            <w:gridSpan w:val="2"/>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16,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December 21, 2022, between Silicon Valley</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Bank and the Borrowers listed on Schedule</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0000FF"/>
            </w:tcBorders>
          </w:tcPr>
          <w:p>
            <w:pPr>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I thereto</w:t>
              </w:r>
            </w:hyperlink>
          </w:p>
        </w:tc>
        <w:tc>
          <w:tcPr>
            <w:tcW w:w="2440" w:type="dxa"/>
            <w:vAlign w:val="bottom"/>
            <w:gridSpan w:val="11"/>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First  Amendment  to  Loan  and  Security</w:t>
              </w:r>
            </w:hyperlink>
          </w:p>
        </w:tc>
        <w:tc>
          <w:tcPr>
            <w:tcW w:w="10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3,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Agreement, dated as of April 28, 2023, by</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and among Sonder Holdings Inc., the other</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borrowers from time to time party thereto</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and Silicon Valley Bank, a division of First-</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2"/>
          </w:tcPr>
          <w:p>
            <w:pPr>
              <w:spacing w:after="0" w:line="176"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Citizens Bank &amp; Trust Company</w:t>
              </w:r>
            </w:hyperlink>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3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Second Amendment to Loan and Security</w:t>
              </w:r>
            </w:hyperlink>
          </w:p>
        </w:tc>
        <w:tc>
          <w:tcPr>
            <w:tcW w:w="10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Agreement, dated as of November 6, 2023,</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by and among Sonder Holdings Inc., the</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other borrowers from time to time party</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spacing w:after="0"/>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thereto and Silicon Valley Bank, a division</w:t>
              </w:r>
            </w:hyperlink>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7"/>
          </w:tcPr>
          <w:p>
            <w:pPr>
              <w:spacing w:after="0" w:line="176"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of First-Citizens Bank &amp; Trust Company</w:t>
              </w:r>
            </w:hyperlink>
          </w:p>
        </w:tc>
        <w:tc>
          <w:tcPr>
            <w:tcW w:w="200" w:type="dxa"/>
            <w:vAlign w:val="bottom"/>
            <w:tcBorders>
              <w:top w:val="single" w:sz="8" w:color="0000FF"/>
            </w:tcBorders>
          </w:tcPr>
          <w:p>
            <w:pPr>
              <w:spacing w:after="0"/>
              <w:rPr>
                <w:sz w:val="15"/>
                <w:szCs w:val="15"/>
                <w:color w:val="auto"/>
              </w:rPr>
            </w:pPr>
          </w:p>
        </w:tc>
        <w:tc>
          <w:tcPr>
            <w:tcW w:w="12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Second Omnibus Amendment, dated as of</w:t>
              </w:r>
            </w:hyperlink>
          </w:p>
        </w:tc>
        <w:tc>
          <w:tcPr>
            <w:tcW w:w="100" w:type="dxa"/>
            <w:vAlign w:val="bottom"/>
            <w:gridSpan w:val="3"/>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9, 2023</w:t>
            </w: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November 6, 2023, to Note and Warrant</w:t>
              </w:r>
            </w:hyperlink>
          </w:p>
        </w:tc>
        <w:tc>
          <w:tcPr>
            <w:tcW w:w="8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Purchase Agreement by and among Sonder</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Holdings  Inc.,  Sonder  Holdings  LLC,</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Sonder USA Inc., and Sonder Hospitality</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0000FF"/>
            </w:tcBorders>
            <w:gridSpan w:val="9"/>
          </w:tcPr>
          <w:p>
            <w:pPr>
              <w:spacing w:after="0" w:line="176" w:lineRule="exact"/>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USA Inc., the guarantors party thereto, the</w:t>
              </w:r>
            </w:hyperlink>
          </w:p>
        </w:tc>
        <w:tc>
          <w:tcPr>
            <w:tcW w:w="10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investors listed therein, and Alter Domus</w:t>
              </w:r>
            </w:hyperlink>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rPr>
            </w:pPr>
            <w:hyperlink r:id="rId269">
              <w:r>
                <w:rPr>
                  <w:rFonts w:ascii="Times New Roman" w:cs="Times New Roman" w:eastAsia="Times New Roman" w:hAnsi="Times New Roman"/>
                  <w:sz w:val="16"/>
                  <w:szCs w:val="16"/>
                  <w:color w:val="0000FF"/>
                </w:rPr>
                <w:t>(US) LLC, as collateral agent</w:t>
              </w:r>
            </w:hyperlink>
          </w:p>
        </w:tc>
        <w:tc>
          <w:tcPr>
            <w:tcW w:w="1060" w:type="dxa"/>
            <w:vAlign w:val="bottom"/>
            <w:gridSpan w:val="9"/>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23"/>
                <w:szCs w:val="23"/>
                <w:color w:val="auto"/>
              </w:rPr>
            </w:pPr>
          </w:p>
        </w:tc>
        <w:tc>
          <w:tcPr>
            <w:tcW w:w="3000" w:type="dxa"/>
            <w:vAlign w:val="bottom"/>
            <w:gridSpan w:val="12"/>
          </w:tcPr>
          <w:p>
            <w:pPr>
              <w:spacing w:after="0"/>
              <w:rPr>
                <w:rFonts w:ascii="Times New Roman" w:cs="Times New Roman" w:eastAsia="Times New Roman" w:hAnsi="Times New Roman"/>
                <w:sz w:val="16"/>
                <w:szCs w:val="16"/>
                <w:color w:val="0000FF"/>
              </w:rPr>
            </w:pPr>
            <w:hyperlink r:id="rId270">
              <w:r>
                <w:rPr>
                  <w:rFonts w:ascii="Times New Roman" w:cs="Times New Roman" w:eastAsia="Times New Roman" w:hAnsi="Times New Roman"/>
                  <w:sz w:val="16"/>
                  <w:szCs w:val="16"/>
                  <w:color w:val="0000FF"/>
                </w:rPr>
                <w:t>Form of Indemnification Agreement</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001-39907</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24, 2022</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20"/>
                <w:szCs w:val="20"/>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Settlement   Agreement   and   Complete</w:t>
            </w:r>
          </w:p>
        </w:tc>
        <w:tc>
          <w:tcPr>
            <w:tcW w:w="100" w:type="dxa"/>
            <w:vAlign w:val="bottom"/>
            <w:gridSpan w:val="3"/>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88"/>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Release  of  All  Claims  by  and  between</w:t>
            </w:r>
          </w:p>
        </w:tc>
        <w:tc>
          <w:tcPr>
            <w:tcW w:w="10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2"/>
          </w:tcPr>
          <w:p>
            <w:pPr>
              <w:spacing w:after="0" w:line="176" w:lineRule="exact"/>
              <w:rPr>
                <w:sz w:val="20"/>
                <w:szCs w:val="20"/>
                <w:color w:val="auto"/>
              </w:rPr>
            </w:pPr>
            <w:r>
              <w:rPr>
                <w:rFonts w:ascii="Times New Roman" w:cs="Times New Roman" w:eastAsia="Times New Roman" w:hAnsi="Times New Roman"/>
                <w:sz w:val="16"/>
                <w:szCs w:val="16"/>
                <w:color w:val="0000FF"/>
              </w:rPr>
              <w:t>Sonder USA Inc. and Deeksha Hebbar</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873"/>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170420"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16"/>
          <w:szCs w:val="16"/>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-15875</wp:posOffset>
            </wp:positionV>
            <wp:extent cx="9715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9715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9640" w:space="240"/>
            <w:col w:w="1200"/>
          </w:cols>
          <w:pgMar w:left="320" w:top="123"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4"/>
          </w:tcPr>
          <w:p>
            <w:pPr>
              <w:ind w:left="9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Filed or Furnished</w:t>
            </w:r>
          </w:p>
        </w:tc>
        <w:tc>
          <w:tcPr>
            <w:tcW w:w="0" w:type="dxa"/>
            <w:vAlign w:val="bottom"/>
          </w:tcPr>
          <w:p>
            <w:pPr>
              <w:spacing w:after="0"/>
              <w:rPr>
                <w:sz w:val="1"/>
                <w:szCs w:val="1"/>
                <w:color w:val="auto"/>
              </w:rPr>
            </w:pPr>
          </w:p>
        </w:tc>
      </w:tr>
      <w:tr>
        <w:trPr>
          <w:trHeight w:val="196"/>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2140" w:type="dxa"/>
            <w:vAlign w:val="bottom"/>
            <w:gridSpan w:val="4"/>
            <w:vMerge w:val="restart"/>
          </w:tcPr>
          <w:p>
            <w:pPr>
              <w:ind w:left="1160"/>
              <w:spacing w:after="0"/>
              <w:rPr>
                <w:sz w:val="20"/>
                <w:szCs w:val="20"/>
                <w:color w:val="auto"/>
              </w:rPr>
            </w:pPr>
            <w:r>
              <w:rPr>
                <w:rFonts w:ascii="Times New Roman" w:cs="Times New Roman" w:eastAsia="Times New Roman" w:hAnsi="Times New Roman"/>
                <w:sz w:val="16"/>
                <w:szCs w:val="16"/>
                <w:color w:val="auto"/>
              </w:rPr>
              <w:t>Exhibit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Form</w:t>
            </w:r>
          </w:p>
        </w:tc>
        <w:tc>
          <w:tcPr>
            <w:tcW w:w="16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File No.</w:t>
            </w: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Exhibit No.</w:t>
            </w:r>
          </w:p>
        </w:tc>
        <w:tc>
          <w:tcPr>
            <w:tcW w:w="1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Filing Date</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80" w:type="dxa"/>
            <w:vAlign w:val="bottom"/>
            <w:gridSpan w:val="2"/>
            <w:vMerge w:val="continue"/>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Herewith</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10.32</w:t>
            </w:r>
          </w:p>
        </w:tc>
        <w:tc>
          <w:tcPr>
            <w:tcW w:w="160" w:type="dxa"/>
            <w:vAlign w:val="bottom"/>
          </w:tcPr>
          <w:p>
            <w:pPr>
              <w:spacing w:after="0"/>
              <w:rPr>
                <w:sz w:val="15"/>
                <w:szCs w:val="15"/>
                <w:color w:val="auto"/>
              </w:rPr>
            </w:pPr>
          </w:p>
        </w:tc>
        <w:tc>
          <w:tcPr>
            <w:tcW w:w="3800" w:type="dxa"/>
            <w:vAlign w:val="bottom"/>
            <w:gridSpan w:val="13"/>
          </w:tcPr>
          <w:p>
            <w:pPr>
              <w:spacing w:after="0" w:line="176" w:lineRule="exact"/>
              <w:rPr>
                <w:sz w:val="20"/>
                <w:szCs w:val="20"/>
                <w:color w:val="auto"/>
              </w:rPr>
            </w:pPr>
            <w:r>
              <w:rPr>
                <w:rFonts w:ascii="Times New Roman" w:cs="Times New Roman" w:eastAsia="Times New Roman" w:hAnsi="Times New Roman"/>
                <w:sz w:val="16"/>
                <w:szCs w:val="16"/>
                <w:color w:val="0000FF"/>
              </w:rPr>
              <w:t>Waiver Agreement, dated as of September</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26, 2024, by and among the Company,</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6"/>
                <w:szCs w:val="16"/>
                <w:color w:val="0000FF"/>
              </w:rPr>
              <w:t>Sonder  Holdings  LLC,  Sonder  Group</w:t>
            </w:r>
          </w:p>
        </w:tc>
        <w:tc>
          <w:tcPr>
            <w:tcW w:w="940" w:type="dxa"/>
            <w:vAlign w:val="bottom"/>
            <w:gridSpan w:val="4"/>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Holdings  LLC,  Sonder  Technology  Inc.,</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Sonder Hospitality USA Inc., Sonder USA</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13"/>
          </w:tcPr>
          <w:p>
            <w:pPr>
              <w:spacing w:after="0" w:line="176" w:lineRule="exact"/>
              <w:rPr>
                <w:sz w:val="20"/>
                <w:szCs w:val="20"/>
                <w:color w:val="auto"/>
              </w:rPr>
            </w:pPr>
            <w:r>
              <w:rPr>
                <w:rFonts w:ascii="Times New Roman" w:cs="Times New Roman" w:eastAsia="Times New Roman" w:hAnsi="Times New Roman"/>
                <w:sz w:val="16"/>
                <w:szCs w:val="16"/>
                <w:u w:val="single" w:color="auto"/>
                <w:color w:val="0000FF"/>
              </w:rPr>
              <w:t>Inc.,</w:t>
            </w:r>
            <w:r>
              <w:rPr>
                <w:rFonts w:ascii="Times New Roman" w:cs="Times New Roman" w:eastAsia="Times New Roman" w:hAnsi="Times New Roman"/>
                <w:sz w:val="16"/>
                <w:szCs w:val="16"/>
                <w:color w:val="0000FF"/>
              </w:rPr>
              <w:t xml:space="preserve">  Sonder  Hospitality  Holdings  LLC,</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Sonder Partner Co., Sonder Guest Services</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LLC and Silicon Valley Bank, a division of</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13"/>
          </w:tcPr>
          <w:p>
            <w:pPr>
              <w:spacing w:after="0" w:line="176" w:lineRule="exact"/>
              <w:rPr>
                <w:sz w:val="20"/>
                <w:szCs w:val="20"/>
                <w:color w:val="auto"/>
              </w:rPr>
            </w:pPr>
            <w:r>
              <w:rPr>
                <w:rFonts w:ascii="Times New Roman" w:cs="Times New Roman" w:eastAsia="Times New Roman" w:hAnsi="Times New Roman"/>
                <w:sz w:val="16"/>
                <w:szCs w:val="16"/>
                <w:color w:val="0000FF"/>
              </w:rPr>
              <w:t>First-Citizens Bank &amp; Trust Company.</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Subsidiaries of the Registrant</w:t>
            </w: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Pr>
          <w:p>
            <w:pPr>
              <w:spacing w:after="0"/>
              <w:rPr>
                <w:sz w:val="24"/>
                <w:szCs w:val="24"/>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Pr>
          <w:p>
            <w:pPr>
              <w:spacing w:after="0"/>
              <w:rPr>
                <w:sz w:val="24"/>
                <w:szCs w:val="24"/>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Pursuant to Rules 13a-14(a) and 15d-14(a)</w:t>
            </w:r>
          </w:p>
        </w:tc>
        <w:tc>
          <w:tcPr>
            <w:tcW w:w="960" w:type="dxa"/>
            <w:vAlign w:val="bottom"/>
            <w:gridSpan w:val="5"/>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6"/>
                <w:szCs w:val="16"/>
                <w:color w:val="0000FF"/>
              </w:rPr>
              <w:t>under the Securities Exchange Act of 1934,</w:t>
            </w:r>
          </w:p>
        </w:tc>
        <w:tc>
          <w:tcPr>
            <w:tcW w:w="940" w:type="dxa"/>
            <w:vAlign w:val="bottom"/>
            <w:gridSpan w:val="4"/>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as Adopted Pursuant to Section 302 of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23"/>
                <w:szCs w:val="23"/>
                <w:color w:val="auto"/>
              </w:rPr>
            </w:pPr>
          </w:p>
        </w:tc>
        <w:tc>
          <w:tcPr>
            <w:tcW w:w="2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w:t>
            </w:r>
          </w:p>
        </w:tc>
        <w:tc>
          <w:tcPr>
            <w:tcW w:w="960" w:type="dxa"/>
            <w:vAlign w:val="bottom"/>
            <w:gridSpan w:val="5"/>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Pursuant to Rules 13a-14(a) and 15d-14(a)</w:t>
            </w:r>
          </w:p>
        </w:tc>
        <w:tc>
          <w:tcPr>
            <w:tcW w:w="960" w:type="dxa"/>
            <w:vAlign w:val="bottom"/>
            <w:gridSpan w:val="5"/>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6"/>
                <w:szCs w:val="16"/>
                <w:color w:val="0000FF"/>
              </w:rPr>
              <w:t>under the Securities Exchange Act of 1934,</w:t>
            </w:r>
          </w:p>
        </w:tc>
        <w:tc>
          <w:tcPr>
            <w:tcW w:w="940" w:type="dxa"/>
            <w:vAlign w:val="bottom"/>
            <w:gridSpan w:val="4"/>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as Adopted Pursuant to Section 302 of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60" w:type="dxa"/>
            <w:vAlign w:val="bottom"/>
          </w:tcPr>
          <w:p>
            <w:pPr>
              <w:spacing w:after="0"/>
              <w:rPr>
                <w:sz w:val="23"/>
                <w:szCs w:val="23"/>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Pursuant to 18 U.S.C. Section 1350, as</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13"/>
          </w:tcPr>
          <w:p>
            <w:pPr>
              <w:spacing w:after="0" w:line="176" w:lineRule="exact"/>
              <w:rPr>
                <w:sz w:val="20"/>
                <w:szCs w:val="20"/>
                <w:color w:val="auto"/>
              </w:rPr>
            </w:pPr>
            <w:r>
              <w:rPr>
                <w:rFonts w:ascii="Times New Roman" w:cs="Times New Roman" w:eastAsia="Times New Roman" w:hAnsi="Times New Roman"/>
                <w:sz w:val="16"/>
                <w:szCs w:val="16"/>
                <w:color w:val="0000FF"/>
              </w:rPr>
              <w:t>Adopted Pursuant to Section 906 of the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tcPr>
          <w:p>
            <w:pPr>
              <w:spacing w:after="0"/>
              <w:rPr>
                <w:sz w:val="24"/>
                <w:szCs w:val="24"/>
                <w:color w:val="auto"/>
              </w:rPr>
            </w:pPr>
          </w:p>
        </w:tc>
        <w:tc>
          <w:tcPr>
            <w:tcW w:w="2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w:t>
            </w:r>
          </w:p>
        </w:tc>
        <w:tc>
          <w:tcPr>
            <w:tcW w:w="960" w:type="dxa"/>
            <w:vAlign w:val="bottom"/>
            <w:gridSpan w:val="5"/>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Pursuant to 18 U.S.C. Section 1350, as</w:t>
            </w:r>
          </w:p>
        </w:tc>
        <w:tc>
          <w:tcPr>
            <w:tcW w:w="940" w:type="dxa"/>
            <w:vAlign w:val="bottom"/>
            <w:gridSpan w:val="4"/>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13"/>
          </w:tcPr>
          <w:p>
            <w:pPr>
              <w:spacing w:after="0" w:line="176" w:lineRule="exact"/>
              <w:rPr>
                <w:sz w:val="20"/>
                <w:szCs w:val="20"/>
                <w:color w:val="auto"/>
              </w:rPr>
            </w:pPr>
            <w:r>
              <w:rPr>
                <w:rFonts w:ascii="Times New Roman" w:cs="Times New Roman" w:eastAsia="Times New Roman" w:hAnsi="Times New Roman"/>
                <w:sz w:val="16"/>
                <w:szCs w:val="16"/>
                <w:color w:val="0000FF"/>
              </w:rPr>
              <w:t>Adopted Pursuant to Section 906 of the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60" w:type="dxa"/>
            <w:vAlign w:val="bottom"/>
          </w:tcPr>
          <w:p>
            <w:pPr>
              <w:spacing w:after="0"/>
              <w:rPr>
                <w:sz w:val="24"/>
                <w:szCs w:val="24"/>
                <w:color w:val="auto"/>
              </w:rPr>
            </w:pP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Compensation Recovery Policy as adopted</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on August 25, 2023</w:t>
            </w:r>
          </w:p>
        </w:tc>
        <w:tc>
          <w:tcPr>
            <w:tcW w:w="900" w:type="dxa"/>
            <w:vAlign w:val="bottom"/>
            <w:tcBorders>
              <w:top w:val="single" w:sz="8" w:color="0000FF"/>
            </w:tcBorders>
            <w:gridSpan w:val="3"/>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9"/>
              </w:rPr>
              <w:t>Inline XBRL Instance Document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38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Document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1660" w:type="dxa"/>
            <w:vAlign w:val="bottom"/>
            <w:gridSpan w:val="9"/>
          </w:tcPr>
          <w:p>
            <w:pPr>
              <w:ind w:left="40"/>
              <w:spacing w:after="0"/>
              <w:rPr>
                <w:sz w:val="20"/>
                <w:szCs w:val="20"/>
                <w:color w:val="auto"/>
              </w:rPr>
            </w:pPr>
            <w:r>
              <w:rPr>
                <w:rFonts w:ascii="Times New Roman" w:cs="Times New Roman" w:eastAsia="Times New Roman" w:hAnsi="Times New Roman"/>
                <w:sz w:val="16"/>
                <w:szCs w:val="16"/>
                <w:color w:val="auto"/>
              </w:rPr>
              <w:t>Extension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4"/>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right"/>
              <w:ind w:right="778"/>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-27305</wp:posOffset>
            </wp:positionV>
            <wp:extent cx="33020"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0" w:name="page201"/>
    <w:bookmarkEnd w:id="200"/>
    <w:p>
      <w:pPr>
        <w:ind w:left="2"/>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4"/>
          </w:tcPr>
          <w:p>
            <w:pPr>
              <w:ind w:left="980"/>
              <w:spacing w:after="0"/>
              <w:rPr>
                <w:sz w:val="20"/>
                <w:szCs w:val="20"/>
                <w:color w:val="auto"/>
              </w:rPr>
            </w:pPr>
            <w:r>
              <w:rPr>
                <w:rFonts w:ascii="Times New Roman" w:cs="Times New Roman" w:eastAsia="Times New Roman" w:hAnsi="Times New Roman"/>
                <w:sz w:val="16"/>
                <w:szCs w:val="16"/>
                <w:color w:val="auto"/>
              </w:rPr>
              <w:t>Incorporated by Reference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Filed or Furnished</w:t>
            </w:r>
          </w:p>
        </w:tc>
        <w:tc>
          <w:tcPr>
            <w:tcW w:w="0" w:type="dxa"/>
            <w:vAlign w:val="bottom"/>
          </w:tcPr>
          <w:p>
            <w:pPr>
              <w:spacing w:after="0"/>
              <w:rPr>
                <w:sz w:val="1"/>
                <w:szCs w:val="1"/>
                <w:color w:val="auto"/>
              </w:rPr>
            </w:pPr>
          </w:p>
        </w:tc>
      </w:tr>
      <w:tr>
        <w:trPr>
          <w:trHeight w:val="196"/>
        </w:trPr>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Exhibit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Form</w:t>
            </w:r>
          </w:p>
        </w:tc>
        <w:tc>
          <w:tcPr>
            <w:tcW w:w="16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File No.</w:t>
            </w: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Exhibit No.</w:t>
            </w:r>
          </w:p>
        </w:tc>
        <w:tc>
          <w:tcPr>
            <w:tcW w:w="1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Filing Date</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Herewith</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Inline</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XBRL</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Taxonomy</w:t>
            </w: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Extension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3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Linkbase Document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Inline</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XBRL</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Taxonomy</w:t>
            </w: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Extension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22"/>
        <w:spacing w:after="0"/>
        <w:rPr>
          <w:sz w:val="20"/>
          <w:szCs w:val="20"/>
          <w:color w:val="auto"/>
        </w:rPr>
      </w:pPr>
      <w:r>
        <w:rPr>
          <w:rFonts w:ascii="Times New Roman" w:cs="Times New Roman" w:eastAsia="Times New Roman" w:hAnsi="Times New Roman"/>
          <w:sz w:val="16"/>
          <w:szCs w:val="16"/>
          <w:color w:val="auto"/>
        </w:rPr>
        <w:t>Presentation Linkbase Document</w:t>
      </w:r>
    </w:p>
    <w:p>
      <w:pPr>
        <w:spacing w:after="0" w:line="107" w:lineRule="exact"/>
        <w:rPr>
          <w:sz w:val="20"/>
          <w:szCs w:val="20"/>
          <w:color w:val="auto"/>
        </w:rPr>
      </w:pPr>
    </w:p>
    <w:p>
      <w:pPr>
        <w:jc w:val="both"/>
        <w:ind w:left="1222" w:right="7140" w:hanging="1206"/>
        <w:spacing w:after="0" w:line="281" w:lineRule="auto"/>
        <w:tabs>
          <w:tab w:leader="none" w:pos="1222"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_____________</w:t>
      </w:r>
    </w:p>
    <w:p>
      <w:pPr>
        <w:spacing w:after="0" w:line="27" w:lineRule="exact"/>
        <w:rPr>
          <w:sz w:val="20"/>
          <w:szCs w:val="20"/>
          <w:color w:val="auto"/>
        </w:rPr>
      </w:pPr>
    </w:p>
    <w:p>
      <w:pPr>
        <w:ind w:left="2"/>
        <w:spacing w:after="0"/>
        <w:tabs>
          <w:tab w:leader="none" w:pos="222"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 or arrangement.</w:t>
      </w:r>
    </w:p>
    <w:p>
      <w:pPr>
        <w:spacing w:after="0" w:line="12" w:lineRule="exact"/>
        <w:rPr>
          <w:sz w:val="20"/>
          <w:szCs w:val="20"/>
          <w:color w:val="auto"/>
        </w:rPr>
      </w:pPr>
    </w:p>
    <w:p>
      <w:pPr>
        <w:ind w:left="402" w:right="20" w:hanging="402"/>
        <w:spacing w:after="0" w:line="271" w:lineRule="auto"/>
        <w:tabs>
          <w:tab w:leader="none" w:pos="34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5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7042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7170420" cy="40640"/>
                    </a:xfrm>
                    <a:prstGeom prst="rect">
                      <a:avLst/>
                    </a:prstGeom>
                    <a:noFill/>
                  </pic:spPr>
                </pic:pic>
              </a:graphicData>
            </a:graphic>
          </wp:anchor>
        </w:drawing>
      </w:r>
    </w:p>
    <w:p>
      <w:pPr>
        <w:sectPr>
          <w:pgSz w:w="11900" w:h="16838" w:orient="portrait"/>
          <w:cols w:equalWidth="0" w:num="1">
            <w:col w:w="11262"/>
          </w:cols>
          <w:pgMar w:left="318" w:top="123" w:right="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SONDER HOLDINGS INC.</w:t>
      </w:r>
    </w:p>
    <w:p>
      <w:pPr>
        <w:spacing w:after="0" w:line="269" w:lineRule="exact"/>
        <w:rPr>
          <w:sz w:val="20"/>
          <w:szCs w:val="20"/>
          <w:color w:val="auto"/>
        </w:rPr>
      </w:pPr>
    </w:p>
    <w:tbl>
      <w:tblPr>
        <w:tblLayout w:type="fixed"/>
        <w:tblInd w:w="6780" w:type="dxa"/>
        <w:tblCellMar>
          <w:top w:w="0" w:type="dxa"/>
          <w:left w:w="0" w:type="dxa"/>
          <w:bottom w:w="0" w:type="dxa"/>
          <w:right w:w="0" w:type="dxa"/>
        </w:tblCellMar>
      </w:tblPr>
      <w:tr>
        <w:trPr>
          <w:trHeight w:val="211"/>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Francis Davidson</w:t>
            </w:r>
          </w:p>
        </w:tc>
        <w:tc>
          <w:tcPr>
            <w:tcW w:w="0" w:type="dxa"/>
            <w:vAlign w:val="bottom"/>
          </w:tcPr>
          <w:p>
            <w:pPr>
              <w:spacing w:after="0"/>
              <w:rPr>
                <w:sz w:val="1"/>
                <w:szCs w:val="1"/>
                <w:color w:val="auto"/>
              </w:rPr>
            </w:pPr>
          </w:p>
        </w:tc>
      </w:tr>
      <w:tr>
        <w:trPr>
          <w:trHeight w:val="38"/>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800" w:type="dxa"/>
            <w:vAlign w:val="bottom"/>
            <w:vMerge w:val="continue"/>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Francis Davidson</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by the following persons on behalf of the registrant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Signature</w:t>
            </w: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Francis Davidson</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53"/>
        </w:trPr>
        <w:tc>
          <w:tcPr>
            <w:tcW w:w="36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Francis Davidson</w:t>
            </w:r>
          </w:p>
        </w:tc>
        <w:tc>
          <w:tcPr>
            <w:tcW w:w="100" w:type="dxa"/>
            <w:vAlign w:val="bottom"/>
            <w:vMerge w:val="continue"/>
          </w:tcPr>
          <w:p>
            <w:pPr>
              <w:spacing w:after="0"/>
              <w:rPr>
                <w:sz w:val="12"/>
                <w:szCs w:val="12"/>
                <w:color w:val="auto"/>
              </w:rPr>
            </w:pPr>
          </w:p>
        </w:tc>
        <w:tc>
          <w:tcPr>
            <w:tcW w:w="536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Dominique Bourgault</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1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Dominique Bourgault</w:t>
            </w:r>
          </w:p>
        </w:tc>
        <w:tc>
          <w:tcPr>
            <w:tcW w:w="1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Adam K. Bowen</w:t>
            </w:r>
          </w:p>
        </w:tc>
        <w:tc>
          <w:tcPr>
            <w:tcW w:w="100" w:type="dxa"/>
            <w:vAlign w:val="bottom"/>
          </w:tcPr>
          <w:p>
            <w:pPr>
              <w:spacing w:after="0"/>
              <w:rPr>
                <w:sz w:val="23"/>
                <w:szCs w:val="23"/>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53"/>
        </w:trPr>
        <w:tc>
          <w:tcPr>
            <w:tcW w:w="36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Adam K. Bowen</w:t>
            </w:r>
          </w:p>
        </w:tc>
        <w:tc>
          <w:tcPr>
            <w:tcW w:w="100" w:type="dxa"/>
            <w:vAlign w:val="bottom"/>
            <w:vMerge w:val="continue"/>
          </w:tcPr>
          <w:p>
            <w:pPr>
              <w:spacing w:after="0"/>
              <w:rPr>
                <w:sz w:val="12"/>
                <w:szCs w:val="12"/>
                <w:color w:val="auto"/>
              </w:rPr>
            </w:pPr>
          </w:p>
        </w:tc>
        <w:tc>
          <w:tcPr>
            <w:tcW w:w="536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Nabeel Hyatt</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Nabeel Hyatt</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Frits van Paasschen</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Frits van Paasschen</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Janice Sears</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Janice Sears</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Michelle Frymire</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Michelle Frymire</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Sean Aggarwal</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Sean Aggarwal</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Sanjay Banker</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Sanjay Banker</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Simon Turner</w:t>
            </w:r>
          </w:p>
        </w:tc>
        <w:tc>
          <w:tcPr>
            <w:tcW w:w="1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26, 2024</w:t>
            </w:r>
          </w:p>
        </w:tc>
        <w:tc>
          <w:tcPr>
            <w:tcW w:w="0" w:type="dxa"/>
            <w:vAlign w:val="bottom"/>
          </w:tcPr>
          <w:p>
            <w:pPr>
              <w:spacing w:after="0"/>
              <w:rPr>
                <w:sz w:val="1"/>
                <w:szCs w:val="1"/>
                <w:color w:val="auto"/>
              </w:rPr>
            </w:pP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Simon Turner</w:t>
            </w:r>
          </w:p>
        </w:tc>
        <w:tc>
          <w:tcPr>
            <w:tcW w:w="1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8"/>
        </w:trPr>
        <w:tc>
          <w:tcPr>
            <w:tcW w:w="3640" w:type="dxa"/>
            <w:vAlign w:val="bottom"/>
          </w:tcPr>
          <w:p>
            <w:pPr>
              <w:spacing w:after="0"/>
              <w:rPr>
                <w:sz w:val="24"/>
                <w:szCs w:val="24"/>
                <w:color w:val="auto"/>
              </w:rPr>
            </w:pPr>
          </w:p>
        </w:tc>
        <w:tc>
          <w:tcPr>
            <w:tcW w:w="5360" w:type="dxa"/>
            <w:vAlign w:val="bottom"/>
            <w:gridSpan w:val="2"/>
          </w:tcPr>
          <w:p>
            <w:pPr>
              <w:jc w:val="right"/>
              <w:ind w:right="3178"/>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6"/>
          <w:szCs w:val="16"/>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222" w:lineRule="exact"/>
        <w:rPr>
          <w:sz w:val="20"/>
          <w:szCs w:val="20"/>
          <w:color w:val="auto"/>
        </w:rPr>
      </w:pPr>
    </w:p>
    <w:p>
      <w:pPr>
        <w:ind w:right="60" w:firstLine="294"/>
        <w:spacing w:after="0" w:line="352" w:lineRule="auto"/>
        <w:rPr>
          <w:sz w:val="20"/>
          <w:szCs w:val="20"/>
          <w:color w:val="auto"/>
        </w:rPr>
      </w:pPr>
      <w:r>
        <w:rPr>
          <w:rFonts w:ascii="Times New Roman" w:cs="Times New Roman" w:eastAsia="Times New Roman" w:hAnsi="Times New Roman"/>
          <w:sz w:val="16"/>
          <w:szCs w:val="16"/>
          <w:color w:val="auto"/>
        </w:rPr>
        <w:t>The following description of capital stock of Sonder Holdings Inc.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 summarizes certain provisions of our amended and restated certificate of incorporation, as amended (the “</w:t>
      </w:r>
      <w:r>
        <w:rPr>
          <w:rFonts w:ascii="Times New Roman" w:cs="Times New Roman" w:eastAsia="Times New Roman" w:hAnsi="Times New Roman"/>
          <w:sz w:val="16"/>
          <w:szCs w:val="16"/>
          <w:i w:val="1"/>
          <w:iCs w:val="1"/>
          <w:color w:val="auto"/>
        </w:rPr>
        <w:t>Amended and Restated Certificate of Incorporation</w:t>
      </w:r>
      <w:r>
        <w:rPr>
          <w:rFonts w:ascii="Times New Roman" w:cs="Times New Roman" w:eastAsia="Times New Roman" w:hAnsi="Times New Roman"/>
          <w:sz w:val="16"/>
          <w:szCs w:val="16"/>
          <w:color w:val="auto"/>
        </w:rPr>
        <w:t>”), and our amended and restated bylaws (the “</w:t>
      </w:r>
      <w:r>
        <w:rPr>
          <w:rFonts w:ascii="Times New Roman" w:cs="Times New Roman" w:eastAsia="Times New Roman" w:hAnsi="Times New Roman"/>
          <w:sz w:val="16"/>
          <w:szCs w:val="16"/>
          <w:i w:val="1"/>
          <w:iCs w:val="1"/>
          <w:color w:val="auto"/>
        </w:rPr>
        <w:t>Amended and Restated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Bylaws</w:t>
      </w:r>
      <w:r>
        <w:rPr>
          <w:rFonts w:ascii="Times New Roman" w:cs="Times New Roman" w:eastAsia="Times New Roman" w:hAnsi="Times New Roman"/>
          <w:sz w:val="16"/>
          <w:szCs w:val="16"/>
          <w:color w:val="auto"/>
        </w:rPr>
        <w:t>”), in effect as of the end of the period covered by this Annual Report on Form 10-K, and reflects the one-for-20 reverse stock split that we effected on September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 2023 (the “</w:t>
      </w:r>
      <w:r>
        <w:rPr>
          <w:rFonts w:ascii="Times New Roman" w:cs="Times New Roman" w:eastAsia="Times New Roman" w:hAnsi="Times New Roman"/>
          <w:sz w:val="16"/>
          <w:szCs w:val="16"/>
          <w:i w:val="1"/>
          <w:iCs w:val="1"/>
          <w:color w:val="auto"/>
        </w:rPr>
        <w:t>Reverse Stock Split</w:t>
      </w:r>
      <w:r>
        <w:rPr>
          <w:rFonts w:ascii="Times New Roman" w:cs="Times New Roman" w:eastAsia="Times New Roman" w:hAnsi="Times New Roman"/>
          <w:sz w:val="16"/>
          <w:szCs w:val="16"/>
          <w:color w:val="auto"/>
        </w:rPr>
        <w:t>”). The description is intended as a summary, and is qualified in its entirety by reference to our Amended and Restated Certificate of Incorporation and our Amended and Restated Bylaws, and with respect to the description below of our publicly traded warrants, by reference to the Warrant Agreement (as defined below), copies of which have been filed as exhibits to the Annual Report on Form 10-K of which this Exhibit 4.5 is a part, and applicable provisions of Delaware law.</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authorized capital stock of the Company is 272,000,000 shares, of which:</w:t>
      </w:r>
    </w:p>
    <w:p>
      <w:pPr>
        <w:spacing w:after="0" w:line="230" w:lineRule="exact"/>
        <w:rPr>
          <w:sz w:val="20"/>
          <w:szCs w:val="20"/>
          <w:color w:val="auto"/>
        </w:rPr>
      </w:pPr>
    </w:p>
    <w:p>
      <w:pPr>
        <w:ind w:left="580" w:hanging="288"/>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20,000,000 shares are designated common stock, $0.0001 par value per share (the “</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w:t>
      </w:r>
    </w:p>
    <w:p>
      <w:pPr>
        <w:spacing w:after="0" w:line="220"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2,000,000 shares are designated special voting common stock, $0.0001 par value per share (the “</w:t>
      </w:r>
      <w:r>
        <w:rPr>
          <w:rFonts w:ascii="Times New Roman" w:cs="Times New Roman" w:eastAsia="Times New Roman" w:hAnsi="Times New Roman"/>
          <w:sz w:val="16"/>
          <w:szCs w:val="16"/>
          <w:i w:val="1"/>
          <w:iCs w:val="1"/>
          <w:color w:val="auto"/>
        </w:rPr>
        <w:t>Special Voting Common Stock</w:t>
      </w:r>
      <w:r>
        <w:rPr>
          <w:rFonts w:ascii="Times New Roman" w:cs="Times New Roman" w:eastAsia="Times New Roman" w:hAnsi="Times New Roman"/>
          <w:sz w:val="16"/>
          <w:szCs w:val="16"/>
          <w:color w:val="auto"/>
        </w:rPr>
        <w:t>”); and</w:t>
      </w:r>
    </w:p>
    <w:p>
      <w:pPr>
        <w:spacing w:after="0" w:line="220"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250,000,000 shares are designated preferred stock, $0.0001 par value per share (the “</w:t>
      </w:r>
      <w:r>
        <w:rPr>
          <w:rFonts w:ascii="Times New Roman" w:cs="Times New Roman" w:eastAsia="Times New Roman" w:hAnsi="Times New Roman"/>
          <w:sz w:val="16"/>
          <w:szCs w:val="16"/>
          <w:i w:val="1"/>
          <w:iCs w:val="1"/>
          <w:color w:val="auto"/>
        </w:rPr>
        <w:t>Preferred Stock</w:t>
      </w:r>
      <w:r>
        <w:rPr>
          <w:rFonts w:ascii="Times New Roman" w:cs="Times New Roman" w:eastAsia="Times New Roman" w:hAnsi="Times New Roman"/>
          <w:sz w:val="16"/>
          <w:szCs w:val="16"/>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236" w:lineRule="exact"/>
        <w:rPr>
          <w:sz w:val="20"/>
          <w:szCs w:val="20"/>
          <w:color w:val="auto"/>
        </w:rPr>
      </w:pPr>
    </w:p>
    <w:p>
      <w:pPr>
        <w:ind w:right="140" w:firstLine="294"/>
        <w:spacing w:after="0" w:line="359" w:lineRule="auto"/>
        <w:rPr>
          <w:sz w:val="20"/>
          <w:szCs w:val="20"/>
          <w:color w:val="auto"/>
        </w:rPr>
      </w:pPr>
      <w:r>
        <w:rPr>
          <w:rFonts w:ascii="Times New Roman" w:cs="Times New Roman" w:eastAsia="Times New Roman" w:hAnsi="Times New Roman"/>
          <w:sz w:val="16"/>
          <w:szCs w:val="16"/>
          <w:color w:val="auto"/>
        </w:rPr>
        <w:t>Holders of Common Stock and Special Voting Common Stock are entitled to one vote for each share held as of the record date for the determination of the stockholders entitled to vote on such matters, except as otherwise required by law. The holders of Common Stock and Special Voting Common Stock will at all times vote together as one class on all matters submitted to a vote of stockholders, unless otherwise required by Delaware law or the Amended and Restated Certificate of Incorporation (as it may be amended from time to time). Delaware law could require holders of shares of a class of capital stock to vote separately as a single class in the following circumstances:</w:t>
      </w:r>
    </w:p>
    <w:p>
      <w:pPr>
        <w:spacing w:after="0" w:line="356" w:lineRule="exact"/>
        <w:rPr>
          <w:sz w:val="20"/>
          <w:szCs w:val="20"/>
          <w:color w:val="auto"/>
        </w:rPr>
      </w:pPr>
    </w:p>
    <w:p>
      <w:pPr>
        <w:ind w:left="580" w:right="220" w:hanging="288"/>
        <w:spacing w:after="0" w:line="387" w:lineRule="auto"/>
        <w:tabs>
          <w:tab w:leader="none" w:pos="5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were to seek to amend the Amended and Restated Certificate of Incorporation to increase or decrease the par value of a class of the capital stock, then that class would be required to vote separately to approve the proposed amendment; and</w:t>
      </w:r>
    </w:p>
    <w:p>
      <w:pPr>
        <w:spacing w:after="0" w:line="80" w:lineRule="exact"/>
        <w:rPr>
          <w:rFonts w:ascii="Times New Roman" w:cs="Times New Roman" w:eastAsia="Times New Roman" w:hAnsi="Times New Roman"/>
          <w:sz w:val="16"/>
          <w:szCs w:val="16"/>
          <w:color w:val="auto"/>
        </w:rPr>
      </w:pPr>
    </w:p>
    <w:p>
      <w:pPr>
        <w:ind w:left="580" w:right="80" w:hanging="288"/>
        <w:spacing w:after="0" w:line="371" w:lineRule="auto"/>
        <w:tabs>
          <w:tab w:leader="none" w:pos="5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were to seek to amend the Amended and Restated Certificate of Incorporation in a manner that alters or changes the powers, preferences, or special rights of a class of capital stock in a manner that affected its holders adversely, then that class would be required to vote separately to approve the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60"/>
          </w:cols>
          <w:pgMar w:left="320" w:top="108" w:right="319"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Election of Directors</w:t>
      </w:r>
    </w:p>
    <w:p>
      <w:pPr>
        <w:spacing w:after="0" w:line="224" w:lineRule="exact"/>
        <w:rPr>
          <w:sz w:val="20"/>
          <w:szCs w:val="20"/>
          <w:color w:val="auto"/>
        </w:rPr>
      </w:pPr>
    </w:p>
    <w:p>
      <w:pPr>
        <w:ind w:right="120" w:firstLine="294"/>
        <w:spacing w:after="0" w:line="387" w:lineRule="auto"/>
        <w:rPr>
          <w:sz w:val="20"/>
          <w:szCs w:val="20"/>
          <w:color w:val="auto"/>
        </w:rPr>
      </w:pPr>
      <w:r>
        <w:rPr>
          <w:rFonts w:ascii="Times New Roman" w:cs="Times New Roman" w:eastAsia="Times New Roman" w:hAnsi="Times New Roman"/>
          <w:sz w:val="16"/>
          <w:szCs w:val="16"/>
          <w:color w:val="auto"/>
        </w:rPr>
        <w:t>Subject to the rights of holders of any series of Preferred Stock with respect to the election of directors, the number of directors that constitutes the Board of Directors (the “</w:t>
      </w:r>
      <w:r>
        <w:rPr>
          <w:rFonts w:ascii="Times New Roman" w:cs="Times New Roman" w:eastAsia="Times New Roman" w:hAnsi="Times New Roman"/>
          <w:sz w:val="16"/>
          <w:szCs w:val="16"/>
          <w:i w:val="1"/>
          <w:iCs w:val="1"/>
          <w:color w:val="auto"/>
        </w:rPr>
        <w:t>Board</w:t>
      </w:r>
      <w:r>
        <w:rPr>
          <w:rFonts w:ascii="Times New Roman" w:cs="Times New Roman" w:eastAsia="Times New Roman" w:hAnsi="Times New Roman"/>
          <w:sz w:val="16"/>
          <w:szCs w:val="16"/>
          <w:color w:val="auto"/>
        </w:rPr>
        <w:t>”) will be fixed solely by resolution adopted by a majority of the Board.</w:t>
      </w:r>
    </w:p>
    <w:p>
      <w:pPr>
        <w:spacing w:after="0" w:line="80" w:lineRule="exact"/>
        <w:rPr>
          <w:sz w:val="20"/>
          <w:szCs w:val="20"/>
          <w:color w:val="auto"/>
        </w:rPr>
      </w:pPr>
    </w:p>
    <w:p>
      <w:pPr>
        <w:ind w:firstLine="294"/>
        <w:spacing w:after="0" w:line="372" w:lineRule="auto"/>
        <w:rPr>
          <w:sz w:val="20"/>
          <w:szCs w:val="20"/>
          <w:color w:val="auto"/>
        </w:rPr>
      </w:pPr>
      <w:r>
        <w:rPr>
          <w:rFonts w:ascii="Times New Roman" w:cs="Times New Roman" w:eastAsia="Times New Roman" w:hAnsi="Times New Roman"/>
          <w:sz w:val="16"/>
          <w:szCs w:val="16"/>
          <w:color w:val="auto"/>
        </w:rPr>
        <w:t>The Amended and Restated Certificate of Incorporation provides for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Dividend Rights</w:t>
      </w:r>
    </w:p>
    <w:p>
      <w:pPr>
        <w:spacing w:after="0" w:line="249" w:lineRule="exact"/>
        <w:rPr>
          <w:sz w:val="20"/>
          <w:szCs w:val="20"/>
          <w:color w:val="auto"/>
        </w:rPr>
      </w:pPr>
    </w:p>
    <w:p>
      <w:pPr>
        <w:ind w:right="100" w:firstLine="294"/>
        <w:spacing w:after="0" w:line="379" w:lineRule="auto"/>
        <w:rPr>
          <w:sz w:val="20"/>
          <w:szCs w:val="20"/>
          <w:color w:val="auto"/>
        </w:rPr>
      </w:pPr>
      <w:r>
        <w:rPr>
          <w:rFonts w:ascii="Times New Roman" w:cs="Times New Roman" w:eastAsia="Times New Roman" w:hAnsi="Times New Roman"/>
          <w:sz w:val="16"/>
          <w:szCs w:val="16"/>
          <w:color w:val="auto"/>
        </w:rPr>
        <w:t>Subject to preferences that may apply to any shares of Preferred Stock outstanding at the time, the holders of Common Stock will be entitled to receive dividends out of funds legally available if the Board, in its discretion, determines to issue dividends and then only at the times that the Board may determine. Any dividends paid to the holders of shares of Common Stock shall be paid on a pro rata basis. The holders of the Special Voting Common Stock shall not be entitled to receive any dividends out of any assets of the Company.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Preemptive or Similar Rights</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Common Stock is not entitled to preemptive rights, and is not subject to conversion, redemption, or sinking fund provisions except as described below.</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Redemption of Special Voting Common Stock</w:t>
      </w:r>
    </w:p>
    <w:p>
      <w:pPr>
        <w:spacing w:after="0" w:line="236" w:lineRule="exact"/>
        <w:rPr>
          <w:sz w:val="20"/>
          <w:szCs w:val="20"/>
          <w:color w:val="auto"/>
        </w:rPr>
      </w:pPr>
    </w:p>
    <w:p>
      <w:pPr>
        <w:ind w:right="140" w:firstLine="294"/>
        <w:spacing w:after="0" w:line="346" w:lineRule="auto"/>
        <w:rPr>
          <w:sz w:val="20"/>
          <w:szCs w:val="20"/>
          <w:color w:val="auto"/>
        </w:rPr>
      </w:pPr>
      <w:r>
        <w:rPr>
          <w:rFonts w:ascii="Times New Roman" w:cs="Times New Roman" w:eastAsia="Times New Roman" w:hAnsi="Times New Roman"/>
          <w:sz w:val="16"/>
          <w:szCs w:val="16"/>
          <w:color w:val="auto"/>
        </w:rPr>
        <w:t>Sonder Canada Inc., a corporation existing under the laws of the province of Québec and a subsidiary of the Company (“Sonder Canada”), has a series of shares that were initially issued in connection with the Business Combination (as defined below), pursuant to Sonder Canada’s Articles of Amendment (as amended and/or restated from time to time, the “Sonder Canada Articles”) (collectively, the “Canada Exchangeable Common Shares”). Each Canada Exchangeable Common Share may be exchanged for one share of Common Stock in accordance with the terms of the Sonder Canada Articles and that certain Exchange Rights Agreement, dated December 18, 2019 (as amended and/or restated from time to time, the “Exchange Rights Agreement”), by and among the Company, Sonder Canada, Sonder Exchange ULC and the holders of Canada Exchangeable Common Shares, to which the Company has intervened. The Company will automatically redeem (an “Automatic Redemption”), on the date on which any Canada Exchangeable Common Shares held by a holder are redeemed, exchanged or otherwise transferred for Common Stock pursuant to the Sonder Canada Articles or the Exchange Rights Agreement, such number of shares of Special Voting Common Stock held by such holder corresponding to the number of Canada Exchangeable Common Shares then redeemed, exchanged or otherwise transferred (the “Redeemed Shares”) for an amount equal to $0.000001 per share (the “Automatic Redemption Price”), and such Redeemed Shares may not be reissued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331" w:right="339"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Liquidation, Dissolution and Winding Up</w:t>
      </w:r>
    </w:p>
    <w:p>
      <w:pPr>
        <w:spacing w:after="0" w:line="224" w:lineRule="exact"/>
        <w:rPr>
          <w:sz w:val="20"/>
          <w:szCs w:val="20"/>
          <w:color w:val="auto"/>
        </w:rPr>
      </w:pPr>
    </w:p>
    <w:p>
      <w:pPr>
        <w:ind w:firstLine="294"/>
        <w:spacing w:after="0" w:line="357" w:lineRule="auto"/>
        <w:rPr>
          <w:sz w:val="20"/>
          <w:szCs w:val="20"/>
          <w:color w:val="auto"/>
        </w:rPr>
      </w:pPr>
      <w:r>
        <w:rPr>
          <w:rFonts w:ascii="Times New Roman" w:cs="Times New Roman" w:eastAsia="Times New Roman" w:hAnsi="Times New Roman"/>
          <w:sz w:val="16"/>
          <w:szCs w:val="16"/>
          <w:color w:val="auto"/>
        </w:rPr>
        <w:t>If the Company becomes subject to a liquidation, dissolution, or winding-up, the assets legally available for distribution to the Company’s stockholders would be distributable ratably among the holders of Common Stock and any participating series of Preferred Stock outstanding at that time, subject to prior satisfaction of all outstanding debt and liabilities and the preferential rights of and the payment of liquidation preferences, if any, on any outstanding shares of Preferred Stock. The holders of the Special Voting Common Stock shall not be entitled to receive any distribution of assets of the Company in such event.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36" w:lineRule="exact"/>
        <w:rPr>
          <w:sz w:val="20"/>
          <w:szCs w:val="20"/>
          <w:color w:val="auto"/>
        </w:rPr>
      </w:pPr>
    </w:p>
    <w:p>
      <w:pPr>
        <w:ind w:right="80" w:firstLine="294"/>
        <w:spacing w:after="0" w:line="347" w:lineRule="auto"/>
        <w:rPr>
          <w:sz w:val="20"/>
          <w:szCs w:val="20"/>
          <w:color w:val="auto"/>
        </w:rPr>
      </w:pPr>
      <w:r>
        <w:rPr>
          <w:rFonts w:ascii="Times New Roman" w:cs="Times New Roman" w:eastAsia="Times New Roman" w:hAnsi="Times New Roman"/>
          <w:sz w:val="16"/>
          <w:szCs w:val="16"/>
          <w:color w:val="auto"/>
        </w:rPr>
        <w:t>The Board is authorized, subject to limitations prescribed by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the stockholders. The Board will be empowered to increase, but not above the total number of authorized shares of Preferred Stock, or decrease the number of shares of any series of Preferred Stock, but not below the number of shares of that series then outstanding, without any further vote or action by the stockholders. The Board will be able to authorize the issuance of Preferred Stock with voting or conversion rights that could adversely impact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Common Stock and the voting and other rights of the holders of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Publicly Traded Warrants</w:t>
      </w:r>
    </w:p>
    <w:p>
      <w:pPr>
        <w:spacing w:after="0" w:line="234" w:lineRule="exact"/>
        <w:rPr>
          <w:sz w:val="20"/>
          <w:szCs w:val="20"/>
          <w:color w:val="auto"/>
        </w:rPr>
      </w:pPr>
    </w:p>
    <w:p>
      <w:pPr>
        <w:ind w:right="100" w:firstLine="294"/>
        <w:spacing w:after="0" w:line="349" w:lineRule="auto"/>
        <w:rPr>
          <w:sz w:val="20"/>
          <w:szCs w:val="20"/>
          <w:color w:val="auto"/>
        </w:rPr>
      </w:pPr>
      <w:r>
        <w:rPr>
          <w:rFonts w:ascii="Times New Roman" w:cs="Times New Roman" w:eastAsia="Times New Roman" w:hAnsi="Times New Roman"/>
          <w:sz w:val="16"/>
          <w:szCs w:val="16"/>
          <w:color w:val="auto"/>
        </w:rPr>
        <w:t>We refer to the warrants issued in registered form in connection with our initial public offering as the “</w:t>
      </w:r>
      <w:r>
        <w:rPr>
          <w:rFonts w:ascii="Times New Roman" w:cs="Times New Roman" w:eastAsia="Times New Roman" w:hAnsi="Times New Roman"/>
          <w:sz w:val="16"/>
          <w:szCs w:val="16"/>
          <w:i w:val="1"/>
          <w:iCs w:val="1"/>
          <w:color w:val="auto"/>
        </w:rPr>
        <w:t>Public Warrants</w:t>
      </w:r>
      <w:r>
        <w:rPr>
          <w:rFonts w:ascii="Times New Roman" w:cs="Times New Roman" w:eastAsia="Times New Roman" w:hAnsi="Times New Roman"/>
          <w:sz w:val="16"/>
          <w:szCs w:val="16"/>
          <w:color w:val="auto"/>
        </w:rPr>
        <w:t>.” With respect to the Public Warrants, each twenty (20) whole warrants entitle the registered holder to purchase one whole share of our Common Stock at a price of $230.00 per share (the “</w:t>
      </w:r>
      <w:r>
        <w:rPr>
          <w:rFonts w:ascii="Times New Roman" w:cs="Times New Roman" w:eastAsia="Times New Roman" w:hAnsi="Times New Roman"/>
          <w:sz w:val="16"/>
          <w:szCs w:val="16"/>
          <w:i w:val="1"/>
          <w:iCs w:val="1"/>
          <w:color w:val="auto"/>
        </w:rPr>
        <w:t>Warrant Exercise Price</w:t>
      </w:r>
      <w:r>
        <w:rPr>
          <w:rFonts w:ascii="Times New Roman" w:cs="Times New Roman" w:eastAsia="Times New Roman" w:hAnsi="Times New Roman"/>
          <w:sz w:val="16"/>
          <w:szCs w:val="16"/>
          <w:color w:val="auto"/>
        </w:rPr>
        <w:t>”), subject to certain adjustments. A warrant holder may exercise its Public Warrants only for a whole number of shares of Common Stock. This means that only a multiple of twenty (20) whole Public Warrants may be exercised at any given time by a warrant holder. The Public Warrants will expire on January 18, 2027 (five years after the consummation of the transactions contemplated by that certain Agreement and Plan of Merger, dated as of April 29, 2021 (as amended on October 27, 2021) to which the Company was a party (the “</w:t>
      </w:r>
      <w:r>
        <w:rPr>
          <w:rFonts w:ascii="Times New Roman" w:cs="Times New Roman" w:eastAsia="Times New Roman" w:hAnsi="Times New Roman"/>
          <w:sz w:val="16"/>
          <w:szCs w:val="16"/>
          <w:i w:val="1"/>
          <w:iCs w:val="1"/>
          <w:color w:val="auto"/>
        </w:rPr>
        <w:t>Business Combination</w:t>
      </w:r>
      <w:r>
        <w:rPr>
          <w:rFonts w:ascii="Times New Roman" w:cs="Times New Roman" w:eastAsia="Times New Roman" w:hAnsi="Times New Roman"/>
          <w:sz w:val="16"/>
          <w:szCs w:val="16"/>
          <w:color w:val="auto"/>
        </w:rPr>
        <w:t>”)), at 5:00 p.m., New York City time, or earlier upon redemption or liquidation.</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 Public Warrant is exercisable for cash or on a cashless basis.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Redemption of Public Warrants for Cash</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may call the Public Warrants for redemption:</w:t>
      </w:r>
    </w:p>
    <w:p>
      <w:pPr>
        <w:spacing w:after="0" w:line="232" w:lineRule="exact"/>
        <w:rPr>
          <w:sz w:val="20"/>
          <w:szCs w:val="20"/>
          <w:color w:val="auto"/>
        </w:rPr>
      </w:pPr>
    </w:p>
    <w:p>
      <w:pPr>
        <w:ind w:left="580" w:hanging="288"/>
        <w:spacing w:after="0"/>
        <w:tabs>
          <w:tab w:leader="none" w:pos="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20"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331" w:right="339" w:bottom="1440" w:gutter="0" w:footer="0" w:header="0"/>
        </w:sectPr>
      </w:pPr>
    </w:p>
    <w:bookmarkStart w:id="205" w:name="page206"/>
    <w:bookmarkEnd w:id="205"/>
    <w:p>
      <w:pPr>
        <w:ind w:left="580" w:hanging="288"/>
        <w:spacing w:after="0"/>
        <w:tabs>
          <w:tab w:leader="none" w:pos="5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 less than thirty (30) days’ prior written notice of redemption (the “</w:t>
      </w:r>
      <w:r>
        <w:rPr>
          <w:rFonts w:ascii="Times New Roman" w:cs="Times New Roman" w:eastAsia="Times New Roman" w:hAnsi="Times New Roman"/>
          <w:sz w:val="16"/>
          <w:szCs w:val="16"/>
          <w:i w:val="1"/>
          <w:iCs w:val="1"/>
          <w:color w:val="auto"/>
        </w:rPr>
        <w:t>30-day redemption period</w:t>
      </w:r>
      <w:r>
        <w:rPr>
          <w:rFonts w:ascii="Times New Roman" w:cs="Times New Roman" w:eastAsia="Times New Roman" w:hAnsi="Times New Roman"/>
          <w:sz w:val="16"/>
          <w:szCs w:val="16"/>
          <w:color w:val="auto"/>
        </w:rPr>
        <w:t>”) to each warrant holder; and</w:t>
      </w:r>
    </w:p>
    <w:p>
      <w:pPr>
        <w:spacing w:after="0" w:line="220" w:lineRule="exact"/>
        <w:rPr>
          <w:rFonts w:ascii="Times New Roman" w:cs="Times New Roman" w:eastAsia="Times New Roman" w:hAnsi="Times New Roman"/>
          <w:sz w:val="16"/>
          <w:szCs w:val="16"/>
          <w:color w:val="auto"/>
        </w:rPr>
      </w:pPr>
    </w:p>
    <w:p>
      <w:pPr>
        <w:jc w:val="both"/>
        <w:ind w:left="580" w:right="260" w:hanging="288"/>
        <w:spacing w:after="0" w:line="389" w:lineRule="auto"/>
        <w:tabs>
          <w:tab w:leader="none" w:pos="57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reported last sale price of the Common Stock equals or exceeds $360.00 per share (the “</w:t>
      </w:r>
      <w:r>
        <w:rPr>
          <w:rFonts w:ascii="Times New Roman" w:cs="Times New Roman" w:eastAsia="Times New Roman" w:hAnsi="Times New Roman"/>
          <w:sz w:val="16"/>
          <w:szCs w:val="16"/>
          <w:i w:val="1"/>
          <w:iCs w:val="1"/>
          <w:color w:val="auto"/>
        </w:rPr>
        <w:t>Warrant Redemption Trigger Price</w:t>
      </w:r>
      <w:r>
        <w:rPr>
          <w:rFonts w:ascii="Times New Roman" w:cs="Times New Roman" w:eastAsia="Times New Roman" w:hAnsi="Times New Roman"/>
          <w:sz w:val="16"/>
          <w:szCs w:val="16"/>
          <w:color w:val="auto"/>
        </w:rPr>
        <w:t>”) for any twenty (20) trading days within a thirty (30)-trading day period ending three (3) business days before we send the notice of redemption to the Public Warrant holders.</w:t>
      </w:r>
    </w:p>
    <w:p>
      <w:pPr>
        <w:spacing w:after="0" w:line="79" w:lineRule="exact"/>
        <w:rPr>
          <w:sz w:val="20"/>
          <w:szCs w:val="20"/>
          <w:color w:val="auto"/>
        </w:rPr>
      </w:pPr>
    </w:p>
    <w:p>
      <w:pPr>
        <w:ind w:right="100" w:firstLine="294"/>
        <w:spacing w:after="0" w:line="357" w:lineRule="auto"/>
        <w:rPr>
          <w:sz w:val="20"/>
          <w:szCs w:val="20"/>
          <w:color w:val="auto"/>
        </w:rPr>
      </w:pPr>
      <w:r>
        <w:rPr>
          <w:rFonts w:ascii="Times New Roman" w:cs="Times New Roman" w:eastAsia="Times New Roman" w:hAnsi="Times New Roman"/>
          <w:sz w:val="16"/>
          <w:szCs w:val="16"/>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Warrant Redemption Trigger Price as well as the Warrant Exercise Price after the redemption notice is issued.</w:t>
      </w:r>
    </w:p>
    <w:p>
      <w:pPr>
        <w:spacing w:after="0" w:line="103" w:lineRule="exact"/>
        <w:rPr>
          <w:sz w:val="20"/>
          <w:szCs w:val="20"/>
          <w:color w:val="auto"/>
        </w:rPr>
      </w:pPr>
    </w:p>
    <w:p>
      <w:pPr>
        <w:jc w:val="both"/>
        <w:ind w:firstLine="294"/>
        <w:spacing w:after="0" w:line="362" w:lineRule="auto"/>
        <w:rPr>
          <w:sz w:val="20"/>
          <w:szCs w:val="20"/>
          <w:color w:val="auto"/>
        </w:rPr>
      </w:pPr>
      <w:r>
        <w:rPr>
          <w:rFonts w:ascii="Times New Roman" w:cs="Times New Roman" w:eastAsia="Times New Roman" w:hAnsi="Times New Roman"/>
          <w:sz w:val="16"/>
          <w:szCs w:val="16"/>
          <w:color w:val="auto"/>
        </w:rPr>
        <w:t>In the event we elect to redeem the outstanding Public Warrants, we will fix a date for the redemption (the “</w:t>
      </w:r>
      <w:r>
        <w:rPr>
          <w:rFonts w:ascii="Times New Roman" w:cs="Times New Roman" w:eastAsia="Times New Roman" w:hAnsi="Times New Roman"/>
          <w:sz w:val="16"/>
          <w:szCs w:val="16"/>
          <w:i w:val="1"/>
          <w:iCs w:val="1"/>
          <w:color w:val="auto"/>
        </w:rPr>
        <w:t>Redemption Date</w:t>
      </w:r>
      <w:r>
        <w:rPr>
          <w:rFonts w:ascii="Times New Roman" w:cs="Times New Roman" w:eastAsia="Times New Roman" w:hAnsi="Times New Roman"/>
          <w:sz w:val="16"/>
          <w:szCs w:val="16"/>
          <w:color w:val="auto"/>
        </w:rPr>
        <w:t>”) and provide notice of the redemption to be mailed by first class mail, postage prepaid by us not less than thirty days prior to the Redemption Date to the registered holders of the Public Warrants (who will, in turn, notify the beneficial holders thereof).</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Redemption of Public Warrants for Common Stock</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Commencing ninety (90) days after the Public Warrants become exercisable, we may redeem the outstanding Public Warrants:</w:t>
      </w:r>
    </w:p>
    <w:p>
      <w:pPr>
        <w:spacing w:after="0" w:line="220" w:lineRule="exact"/>
        <w:rPr>
          <w:sz w:val="20"/>
          <w:szCs w:val="20"/>
          <w:color w:val="auto"/>
        </w:rPr>
      </w:pPr>
    </w:p>
    <w:p>
      <w:pPr>
        <w:ind w:left="580" w:hanging="288"/>
        <w:spacing w:after="0"/>
        <w:tabs>
          <w:tab w:leader="none" w:pos="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and not in part;</w:t>
      </w:r>
    </w:p>
    <w:p>
      <w:pPr>
        <w:spacing w:after="0" w:line="232" w:lineRule="exact"/>
        <w:rPr>
          <w:rFonts w:ascii="Times New Roman" w:cs="Times New Roman" w:eastAsia="Times New Roman" w:hAnsi="Times New Roman"/>
          <w:sz w:val="16"/>
          <w:szCs w:val="16"/>
          <w:color w:val="auto"/>
        </w:rPr>
      </w:pPr>
    </w:p>
    <w:p>
      <w:pPr>
        <w:ind w:left="580" w:right="400" w:hanging="288"/>
        <w:spacing w:after="0" w:line="371" w:lineRule="auto"/>
        <w:tabs>
          <w:tab w:leader="none" w:pos="57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price equal to a number of shares of Common Stock to be determined by reference to the table below, based on the redemption date and the “fair market value” of our Common Stock except as otherwise described below;</w:t>
      </w:r>
    </w:p>
    <w:p>
      <w:pPr>
        <w:spacing w:after="0" w:line="104" w:lineRule="exact"/>
        <w:rPr>
          <w:rFonts w:ascii="Times New Roman" w:cs="Times New Roman" w:eastAsia="Times New Roman" w:hAnsi="Times New Roman"/>
          <w:sz w:val="16"/>
          <w:szCs w:val="16"/>
          <w:color w:val="auto"/>
        </w:rPr>
      </w:pPr>
    </w:p>
    <w:p>
      <w:pPr>
        <w:ind w:left="580" w:right="500" w:hanging="288"/>
        <w:spacing w:after="0" w:line="371" w:lineRule="auto"/>
        <w:tabs>
          <w:tab w:leader="none" w:pos="57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there is an effective registration statement covering the shares of Common Stock issuable upon exercise of the Public Warrants and a current prospectus relating thereto available throughout the thirty (30)-day period after written notice of redemption is given;</w:t>
      </w:r>
    </w:p>
    <w:p>
      <w:pPr>
        <w:spacing w:after="0" w:line="104"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thirty (30) days’ prior written notice of redemption to each warrant holder; and</w:t>
      </w:r>
    </w:p>
    <w:p>
      <w:pPr>
        <w:spacing w:after="0" w:line="220" w:lineRule="exact"/>
        <w:rPr>
          <w:rFonts w:ascii="Times New Roman" w:cs="Times New Roman" w:eastAsia="Times New Roman" w:hAnsi="Times New Roman"/>
          <w:sz w:val="16"/>
          <w:szCs w:val="16"/>
          <w:color w:val="auto"/>
        </w:rPr>
      </w:pPr>
    </w:p>
    <w:p>
      <w:pPr>
        <w:ind w:left="580" w:right="20" w:hanging="288"/>
        <w:spacing w:after="0" w:line="387" w:lineRule="auto"/>
        <w:tabs>
          <w:tab w:leader="none" w:pos="57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reported sale price of our Common Stock equals or exceeds $200.00 per share (as adjusted for share splits, share dividends, reorganizations, reclassifications, recapitalizations and the like) on the trading day prior to the date on which we send the notice of redemption to the warrant holders.</w:t>
      </w:r>
    </w:p>
    <w:p>
      <w:pPr>
        <w:spacing w:after="0" w:line="80" w:lineRule="exact"/>
        <w:rPr>
          <w:sz w:val="20"/>
          <w:szCs w:val="20"/>
          <w:color w:val="auto"/>
        </w:rPr>
      </w:pPr>
    </w:p>
    <w:p>
      <w:pPr>
        <w:ind w:right="20" w:firstLine="294"/>
        <w:spacing w:after="0" w:line="361" w:lineRule="auto"/>
        <w:rPr>
          <w:sz w:val="20"/>
          <w:szCs w:val="20"/>
          <w:color w:val="auto"/>
        </w:rPr>
      </w:pPr>
      <w:r>
        <w:rPr>
          <w:rFonts w:ascii="Times New Roman" w:cs="Times New Roman" w:eastAsia="Times New Roman" w:hAnsi="Times New Roman"/>
          <w:sz w:val="16"/>
          <w:szCs w:val="16"/>
          <w:color w:val="auto"/>
        </w:rPr>
        <w:t>The numbers in the table below represent the “redemption prices,” or the number of shares of Common Stock that a warrant holder will receive upon redemption by us pursuant to this redemption feature, of twenty (20) whole Public Warrants, based on the “fair market value” of our Common Stock on the corresponding redemption date, determined based on the average of the last reported sales price for the ten (10) trading days ending on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20"/>
          </w:cols>
          <w:pgMar w:left="320" w:top="1333" w:right="359" w:bottom="1440" w:gutter="0" w:footer="0" w:header="0"/>
        </w:sectPr>
      </w:pPr>
    </w:p>
    <w:bookmarkStart w:id="206" w:name="page207"/>
    <w:bookmarkEnd w:id="206"/>
    <w:p>
      <w:pPr>
        <w:spacing w:after="0" w:line="371" w:lineRule="auto"/>
        <w:rPr>
          <w:sz w:val="20"/>
          <w:szCs w:val="20"/>
          <w:color w:val="auto"/>
        </w:rPr>
      </w:pPr>
      <w:r>
        <w:rPr>
          <w:rFonts w:ascii="Times New Roman" w:cs="Times New Roman" w:eastAsia="Times New Roman" w:hAnsi="Times New Roman"/>
          <w:sz w:val="16"/>
          <w:szCs w:val="16"/>
          <w:color w:val="auto"/>
        </w:rPr>
        <w:t>trading day prior to the date on which the notice of redemption is sent to the holders of Public Warrants, and the number of months that the corresponding redemption date precedes the expiration date of the Public Warrants, each as set forth in the table below.</w:t>
      </w:r>
    </w:p>
    <w:p>
      <w:pPr>
        <w:spacing w:after="0" w:line="105" w:lineRule="exact"/>
        <w:rPr>
          <w:sz w:val="20"/>
          <w:szCs w:val="20"/>
          <w:color w:val="auto"/>
        </w:rPr>
      </w:pPr>
    </w:p>
    <w:p>
      <w:pPr>
        <w:ind w:firstLine="294"/>
        <w:spacing w:after="0" w:line="352" w:lineRule="auto"/>
        <w:rPr>
          <w:sz w:val="20"/>
          <w:szCs w:val="20"/>
          <w:color w:val="auto"/>
        </w:rPr>
      </w:pPr>
      <w:r>
        <w:rPr>
          <w:rFonts w:ascii="Times New Roman" w:cs="Times New Roman" w:eastAsia="Times New Roman" w:hAnsi="Times New Roman"/>
          <w:sz w:val="16"/>
          <w:szCs w:val="16"/>
          <w:color w:val="auto"/>
        </w:rPr>
        <w:t>The share prices set forth in the column headings of the table below, and references to such prices elsewhere in this description, will be adjusted as of any date on which the number of shares issuable upon exercise of a Public Warrant is adjusted as set forth below.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140"/>
          </w:cols>
          <w:pgMar w:left="320" w:top="133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color w:val="auto"/>
        </w:rPr>
        <w:t>below shall be adjusted in the same manner and at the same time as the number of shares issuable upon exercise of twenty (20) whole Public Warrants.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Redemption Date</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2"/>
                <w:szCs w:val="12"/>
                <w:b w:val="1"/>
                <w:bCs w:val="1"/>
                <w:color w:val="auto"/>
              </w:rPr>
              <w:t>Fair Market Value of Common Stock</w:t>
            </w: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99"/>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(period to expiration of warrants)</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&lt;$200</w:t>
            </w:r>
          </w:p>
        </w:tc>
        <w:tc>
          <w:tcPr>
            <w:tcW w:w="86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  220</w:t>
            </w:r>
          </w:p>
        </w:tc>
        <w:tc>
          <w:tcPr>
            <w:tcW w:w="88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  240</w:t>
            </w:r>
          </w:p>
        </w:tc>
        <w:tc>
          <w:tcPr>
            <w:tcW w:w="90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  260</w:t>
            </w:r>
          </w:p>
        </w:tc>
        <w:tc>
          <w:tcPr>
            <w:tcW w:w="88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  280</w:t>
            </w:r>
          </w:p>
        </w:tc>
        <w:tc>
          <w:tcPr>
            <w:tcW w:w="88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  300</w:t>
            </w:r>
          </w:p>
        </w:tc>
        <w:tc>
          <w:tcPr>
            <w:tcW w:w="88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  320</w:t>
            </w:r>
          </w:p>
        </w:tc>
        <w:tc>
          <w:tcPr>
            <w:tcW w:w="88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  340</w:t>
            </w:r>
          </w:p>
        </w:tc>
        <w:tc>
          <w:tcPr>
            <w:tcW w:w="7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  360</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57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0.257</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0.277</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0.294</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0.310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0.324</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0.337</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0.348</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0.365</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54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0.252</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0.272</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0.291</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0.307</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0.347</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0.365</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51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0.246</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0.268</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0.287</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0.304</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0.333</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0.346</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0.365</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48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0.241</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0.263</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0.283</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0.301</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0.317</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0.344</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0.356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0.365</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45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0.235</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0.258</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0.279</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0.298</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0.315</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0.343</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0.365</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42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0.228</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0.252</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0.274</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0.294</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0.312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0.328</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0.342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39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0.221</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0.246</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0.269</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0.290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0.309</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0.325</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36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0.213</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0.239</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0.263</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0.285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0.305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0.323</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0.339</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33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0.205</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0.232</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0.257</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0.280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0.301</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0.337</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0.196</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0.224</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0.250</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0.274</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0.297</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0.316</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27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0.185</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0.214</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0.242</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0.268</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0.291</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0.313</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0.332</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0.350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0.173</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0.204</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0.233</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0.260</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0.285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0.308</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0.329</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21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0.161</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0.193</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0.223</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0.252</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0.279</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0.304</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0.326</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0.364</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18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0.146</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0.179</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0.211</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0.242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0.271</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0.298</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0.363</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15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0.130</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0.164</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0.197</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0.230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0.262</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0.291</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0.317</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0.342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0.363</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0.111</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0.146</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0.181</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0.216</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0.250</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0.282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0.312</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0.363</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9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0.090</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0.125</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0.162</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0.199</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0.237</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0.272</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0.305</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0.336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0.362</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0.065</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0.099</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0.137</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0.178</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0.219</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0.259</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0.296</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0.362</w:t>
            </w:r>
          </w:p>
        </w:tc>
      </w:tr>
      <w:tr>
        <w:trPr>
          <w:trHeight w:val="17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 months</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0.034</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0.065</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0.104</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0.150</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0.197</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0.243</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0.286</w:t>
            </w: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0.326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0.361</w:t>
            </w:r>
          </w:p>
        </w:tc>
      </w:tr>
      <w:tr>
        <w:trPr>
          <w:trHeight w:val="191"/>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 months</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0.042</w:t>
            </w:r>
          </w:p>
        </w:tc>
        <w:tc>
          <w:tcPr>
            <w:tcW w:w="9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0.115</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0.179</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0.233</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0.281</w:t>
            </w:r>
          </w:p>
        </w:tc>
        <w:tc>
          <w:tcPr>
            <w:tcW w:w="8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0.323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0320"/>
          </w:cols>
          <w:pgMar w:left="320" w:top="1335" w:right="1259" w:bottom="1440" w:gutter="0" w:footer="0" w:header="0"/>
        </w:sectPr>
      </w:pPr>
    </w:p>
    <w:bookmarkStart w:id="208" w:name="page209"/>
    <w:bookmarkEnd w:id="208"/>
    <w:p>
      <w:pPr>
        <w:spacing w:after="0" w:line="43" w:lineRule="exact"/>
        <w:rPr>
          <w:sz w:val="20"/>
          <w:szCs w:val="20"/>
          <w:color w:val="auto"/>
        </w:rPr>
      </w:pPr>
    </w:p>
    <w:p>
      <w:pPr>
        <w:ind w:right="60" w:firstLine="294"/>
        <w:spacing w:after="0" w:line="371" w:lineRule="auto"/>
        <w:rPr>
          <w:sz w:val="20"/>
          <w:szCs w:val="20"/>
          <w:color w:val="auto"/>
        </w:rPr>
      </w:pPr>
      <w:r>
        <w:rPr>
          <w:rFonts w:ascii="Times New Roman" w:cs="Times New Roman" w:eastAsia="Times New Roman" w:hAnsi="Times New Roman"/>
          <w:sz w:val="16"/>
          <w:szCs w:val="16"/>
          <w:color w:val="auto"/>
        </w:rPr>
        <w:t>The “fair market value” of our Common Stock shall mean the average last reported sale price of our Common Stock for the 10 trading days ending on the third trading day prior to the date on which the notice of redemption is sent to the holders of Public Warrants.</w:t>
      </w:r>
    </w:p>
    <w:p>
      <w:pPr>
        <w:spacing w:after="0" w:line="105" w:lineRule="exact"/>
        <w:rPr>
          <w:sz w:val="20"/>
          <w:szCs w:val="20"/>
          <w:color w:val="auto"/>
        </w:rPr>
      </w:pPr>
    </w:p>
    <w:p>
      <w:pPr>
        <w:ind w:firstLine="294"/>
        <w:spacing w:after="0" w:line="345" w:lineRule="auto"/>
        <w:rPr>
          <w:sz w:val="20"/>
          <w:szCs w:val="20"/>
          <w:color w:val="auto"/>
        </w:rPr>
      </w:pPr>
      <w:r>
        <w:rPr>
          <w:rFonts w:ascii="Times New Roman" w:cs="Times New Roman" w:eastAsia="Times New Roman" w:hAnsi="Times New Roman"/>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Common Stock for the 10 trading days ending on the third trading date prior to the date on which the notice of redemption is sent to the holders of the Public Warrants is $220.00 per share, and at such time there are 57 months until the expiration of the Public Warrants, we may choose to, pursuant to this redemption feature, redeem the Public Warrants at a “redemption price” of 0.277 shares of Common Stock for 20 whole Public Warrants. For an example where the exact fair market value and redemption date are not as set forth in the table above, if the average last reported sale price of our Common Stock for the 10 trading days ending on the third trading date prior to the date on which the notice of redemption is sent to the holders of the Public Warrants is $270.00 per share, and at such time there are 38 months until the expiration of the Public Warrants, we may choose to, pursuant to this redemption feature, redeem the Public Warrants at a “redemption price” of 0.298 shares of Common Stock for 20 whole Public Warrants. Finally, as reflected in the table above, we can redeem the Public Warrants for no consideration in the event that the Public Warrants are “out of the money” (i.e., the trading price of our Common Stock is below the exercise price of the Public Warrants) and about to expire.</w:t>
      </w:r>
    </w:p>
    <w:p>
      <w:pPr>
        <w:spacing w:after="0" w:line="120" w:lineRule="exact"/>
        <w:rPr>
          <w:sz w:val="20"/>
          <w:szCs w:val="20"/>
          <w:color w:val="auto"/>
        </w:rPr>
      </w:pPr>
    </w:p>
    <w:p>
      <w:pPr>
        <w:jc w:val="both"/>
        <w:ind w:right="180" w:firstLine="294"/>
        <w:spacing w:after="0" w:line="361" w:lineRule="auto"/>
        <w:rPr>
          <w:sz w:val="20"/>
          <w:szCs w:val="20"/>
          <w:color w:val="auto"/>
        </w:rPr>
      </w:pPr>
      <w:r>
        <w:rPr>
          <w:rFonts w:ascii="Times New Roman" w:cs="Times New Roman" w:eastAsia="Times New Roman" w:hAnsi="Times New Roman"/>
          <w:sz w:val="16"/>
          <w:szCs w:val="16"/>
          <w:color w:val="auto"/>
        </w:rPr>
        <w:t>Any Public Warrants held by our officers or directors will be subject to this redemption feature, except that such officers and directors shall only receive “fair market value” for such public warrants so redeemed (“fair market value” for such Public Warrants held by our officers or directors being defined as the last reported sale price of the Public Warrants on such redemption date).</w:t>
      </w:r>
    </w:p>
    <w:p>
      <w:pPr>
        <w:spacing w:after="0" w:line="113" w:lineRule="exact"/>
        <w:rPr>
          <w:sz w:val="20"/>
          <w:szCs w:val="20"/>
          <w:color w:val="auto"/>
        </w:rPr>
      </w:pPr>
    </w:p>
    <w:p>
      <w:pPr>
        <w:ind w:right="20" w:firstLine="294"/>
        <w:spacing w:after="0" w:line="346" w:lineRule="auto"/>
        <w:rPr>
          <w:sz w:val="20"/>
          <w:szCs w:val="20"/>
          <w:color w:val="auto"/>
        </w:rPr>
      </w:pPr>
      <w:r>
        <w:rPr>
          <w:rFonts w:ascii="Times New Roman" w:cs="Times New Roman" w:eastAsia="Times New Roman" w:hAnsi="Times New Roman"/>
          <w:sz w:val="16"/>
          <w:szCs w:val="16"/>
          <w:color w:val="auto"/>
        </w:rPr>
        <w:t>This redemption feature differs from the typical warrant redemption features used in other blank check offerings, which typically only provide for a redemption of warrants for cash when the trading price for the Common Stock exceeds $360.00 per share for a specified period of time. This redemption feature is structured to allow for all of the outstanding Public Warrants to be redeemed when the shares of Common Stock are trading at or above $200.00 per share, which may be at a time when the trading price of our Common Stock is below the exercise price of the Public Warrants. We have established this redemption feature to provide the Public Warrants with an additional liquidity feature, which provides us with the flexibility to redeem the warrants for shares of Common Stock, instead of cash, for “fair value” without the warrants having to reach the $360.00 per share threshold set forth above under “—</w:t>
      </w:r>
      <w:r>
        <w:rPr>
          <w:rFonts w:ascii="Times New Roman" w:cs="Times New Roman" w:eastAsia="Times New Roman" w:hAnsi="Times New Roman"/>
          <w:sz w:val="16"/>
          <w:szCs w:val="16"/>
          <w:i w:val="1"/>
          <w:iCs w:val="1"/>
          <w:color w:val="auto"/>
        </w:rPr>
        <w:t>Redemption of Public Warrants for Cash</w:t>
      </w:r>
      <w:r>
        <w:rPr>
          <w:rFonts w:ascii="Times New Roman" w:cs="Times New Roman" w:eastAsia="Times New Roman" w:hAnsi="Times New Roman"/>
          <w:sz w:val="16"/>
          <w:szCs w:val="16"/>
          <w:color w:val="auto"/>
        </w:rPr>
        <w:t>.” Holders of the Public Warrants will, in effect, receive a number of shares representing fair value for their Public Warrants based on an option pricing model with a fixed volatility input as of January 19, 2021. This redemption right provides us not only with an additional mechanism by which to redeem all of the outstanding Public Warrants, in this case, for Common Stock, and therefore have certainty as to (a) our capital structure as the Public Warrants would no longer be outstanding and would have been exercised or redeemed and (b) to the amount of cash provided by the exercise of the Public Warrants and available to us, and also provides a ceiling to the theoretical value of the Public Warrants as it locks in the “redemption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40" w:right="339" w:bottom="1440" w:gutter="0" w:footer="0" w:header="0"/>
        </w:sectPr>
      </w:pPr>
    </w:p>
    <w:bookmarkStart w:id="209" w:name="page210"/>
    <w:bookmarkEnd w:id="209"/>
    <w:p>
      <w:pPr>
        <w:ind w:right="40"/>
        <w:spacing w:after="0" w:line="352" w:lineRule="auto"/>
        <w:rPr>
          <w:sz w:val="20"/>
          <w:szCs w:val="20"/>
          <w:color w:val="auto"/>
        </w:rPr>
      </w:pPr>
      <w:r>
        <w:rPr>
          <w:rFonts w:ascii="Times New Roman" w:cs="Times New Roman" w:eastAsia="Times New Roman" w:hAnsi="Times New Roman"/>
          <w:sz w:val="16"/>
          <w:szCs w:val="16"/>
          <w:color w:val="auto"/>
        </w:rPr>
        <w:t>we would pay to warrant holders if we chose to redeem Public Warrants in this manner. We will effectively be required to pay fair value to warrant holders if we choose to exercise this redemption right and it will allow us to quickly proceed with a redemption of the Public Warrants for Common Stock if we determine it is in our best interest to do so. As such, we would redeem the Public Warrants in this manner when we believe it is in our best interest to update our capital structure to remove the Public Warrants and pay fair value to the warrant holders. In particular, it would allow us to quickly redeem the Public Warrants for Common Stock, without having to negotiate a redemption price with the warrant holders. In addition, the warrant holders will have the ability to exercise the warrants prior to redemption if they should choose to do so.</w:t>
      </w:r>
    </w:p>
    <w:p>
      <w:pPr>
        <w:spacing w:after="0" w:line="108" w:lineRule="exact"/>
        <w:rPr>
          <w:sz w:val="20"/>
          <w:szCs w:val="20"/>
          <w:color w:val="auto"/>
        </w:rPr>
      </w:pPr>
    </w:p>
    <w:p>
      <w:pPr>
        <w:ind w:right="120" w:firstLine="294"/>
        <w:spacing w:after="0" w:line="352" w:lineRule="auto"/>
        <w:rPr>
          <w:sz w:val="20"/>
          <w:szCs w:val="20"/>
          <w:color w:val="auto"/>
        </w:rPr>
      </w:pPr>
      <w:r>
        <w:rPr>
          <w:rFonts w:ascii="Times New Roman" w:cs="Times New Roman" w:eastAsia="Times New Roman" w:hAnsi="Times New Roman"/>
          <w:sz w:val="16"/>
          <w:szCs w:val="16"/>
          <w:color w:val="auto"/>
        </w:rPr>
        <w:t>As stated above, we can redeem the Public Warrants when the shares of Common Stock are trading at a price starting at $200.00, which is below the exercise price of $230.00, because it will provide certainty with respect to our capital structure and cash position while providing warrant holders with fair value (in the form of Common Stock). If we choose to redeem the Public Warrants when the Common Stock is trading at a price below the exercise price of the Public Warrants, this could result in the warrant holders receiving fewer shares of Common Stock than they would have received if they had chosen to wait to exercise their warrants for Common Stock if and when such shares of Common Stock were trading at a price higher than the exercise price of $230.00.</w:t>
      </w:r>
    </w:p>
    <w:p>
      <w:pPr>
        <w:spacing w:after="0" w:line="120" w:lineRule="exact"/>
        <w:rPr>
          <w:sz w:val="20"/>
          <w:szCs w:val="20"/>
          <w:color w:val="auto"/>
        </w:rPr>
      </w:pPr>
    </w:p>
    <w:p>
      <w:pPr>
        <w:ind w:right="200" w:firstLine="294"/>
        <w:spacing w:after="0" w:line="371" w:lineRule="auto"/>
        <w:rPr>
          <w:sz w:val="20"/>
          <w:szCs w:val="20"/>
          <w:color w:val="auto"/>
        </w:rPr>
      </w:pPr>
      <w:r>
        <w:rPr>
          <w:rFonts w:ascii="Times New Roman" w:cs="Times New Roman" w:eastAsia="Times New Roman" w:hAnsi="Times New Roman"/>
          <w:sz w:val="16"/>
          <w:szCs w:val="16"/>
          <w:color w:val="auto"/>
        </w:rPr>
        <w:t>No fractional shares of Common Stock will be issued upon redemption. If, upon redemption, a holder would be entitled to receive a fractional interest in a share, we will round down to the nearest whole number of shares of Common Stock to be issued to the holder.</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Redemption Procedures and Cashless Exercise</w:t>
      </w:r>
    </w:p>
    <w:p>
      <w:pPr>
        <w:spacing w:after="0" w:line="236" w:lineRule="exact"/>
        <w:rPr>
          <w:sz w:val="20"/>
          <w:szCs w:val="20"/>
          <w:color w:val="auto"/>
        </w:rPr>
      </w:pPr>
    </w:p>
    <w:p>
      <w:pPr>
        <w:ind w:right="20" w:firstLine="294"/>
        <w:spacing w:after="0" w:line="346" w:lineRule="auto"/>
        <w:rPr>
          <w:sz w:val="20"/>
          <w:szCs w:val="20"/>
          <w:color w:val="auto"/>
        </w:rPr>
      </w:pPr>
      <w:r>
        <w:rPr>
          <w:rFonts w:ascii="Times New Roman" w:cs="Times New Roman" w:eastAsia="Times New Roman" w:hAnsi="Times New Roman"/>
          <w:sz w:val="16"/>
          <w:szCs w:val="16"/>
          <w:color w:val="auto"/>
        </w:rPr>
        <w:t>If we call the Public Warrants for redemption as described above, our management will have the option to require any holder that wishes to exercise its Public Warrant to do so on a “cashless basis.” In determining whether to require all holders to exercise their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w:t>
      </w:r>
    </w:p>
    <w:p>
      <w:pPr>
        <w:spacing w:after="0" w:line="384" w:lineRule="exact"/>
        <w:rPr>
          <w:sz w:val="20"/>
          <w:szCs w:val="20"/>
          <w:color w:val="auto"/>
        </w:rPr>
      </w:pPr>
    </w:p>
    <w:p>
      <w:pPr>
        <w:ind w:firstLine="294"/>
        <w:spacing w:after="0" w:line="371" w:lineRule="auto"/>
        <w:rPr>
          <w:sz w:val="20"/>
          <w:szCs w:val="20"/>
          <w:color w:val="auto"/>
        </w:rPr>
      </w:pPr>
      <w:r>
        <w:rPr>
          <w:rFonts w:ascii="Times New Roman" w:cs="Times New Roman" w:eastAsia="Times New Roman" w:hAnsi="Times New Roman"/>
          <w:sz w:val="16"/>
          <w:szCs w:val="16"/>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20"/>
          </w:cols>
          <w:pgMar w:left="320" w:top="1335" w:right="359" w:bottom="1440" w:gutter="0" w:footer="0" w:header="0"/>
        </w:sectPr>
      </w:pPr>
    </w:p>
    <w:bookmarkStart w:id="210" w:name="page211"/>
    <w:bookmarkEnd w:id="210"/>
    <w:p>
      <w:pPr>
        <w:ind w:left="2" w:right="360"/>
        <w:spacing w:after="0" w:line="371" w:lineRule="auto"/>
        <w:rPr>
          <w:sz w:val="20"/>
          <w:szCs w:val="20"/>
          <w:color w:val="auto"/>
        </w:rPr>
      </w:pPr>
      <w:r>
        <w:rPr>
          <w:rFonts w:ascii="Times New Roman" w:cs="Times New Roman" w:eastAsia="Times New Roman" w:hAnsi="Times New Roman"/>
          <w:sz w:val="16"/>
          <w:szCs w:val="16"/>
          <w:color w:val="auto"/>
        </w:rPr>
        <w:t>beneficially own in excess of 9.8% (or such other amount as a holder may specify) of the shares of Common Stock outstanding immediately after giving effect to such exercise.</w:t>
      </w:r>
    </w:p>
    <w:p>
      <w:pPr>
        <w:spacing w:after="0" w:line="101"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Anti-Dilution Adjustments</w:t>
      </w:r>
    </w:p>
    <w:p>
      <w:pPr>
        <w:spacing w:after="0" w:line="224" w:lineRule="exact"/>
        <w:rPr>
          <w:sz w:val="20"/>
          <w:szCs w:val="20"/>
          <w:color w:val="auto"/>
        </w:rPr>
      </w:pPr>
    </w:p>
    <w:p>
      <w:pPr>
        <w:ind w:left="2" w:firstLine="294"/>
        <w:spacing w:after="0" w:line="348" w:lineRule="auto"/>
        <w:rPr>
          <w:sz w:val="20"/>
          <w:szCs w:val="20"/>
          <w:color w:val="auto"/>
        </w:rPr>
      </w:pPr>
      <w:r>
        <w:rPr>
          <w:rFonts w:ascii="Times New Roman" w:cs="Times New Roman" w:eastAsia="Times New Roman" w:hAnsi="Times New Roman"/>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(a) the number of shares of Common Stock actually sold in such rights offering (or issuable under any other equity securities sold in such rights offering that are convertible into or exercisable for Common Stock) multiplied by (b) one (1)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369" w:lineRule="exact"/>
        <w:rPr>
          <w:sz w:val="20"/>
          <w:szCs w:val="20"/>
          <w:color w:val="auto"/>
        </w:rPr>
      </w:pPr>
    </w:p>
    <w:p>
      <w:pPr>
        <w:ind w:left="2" w:right="180" w:firstLine="294"/>
        <w:spacing w:after="0" w:line="343" w:lineRule="auto"/>
        <w:rPr>
          <w:sz w:val="20"/>
          <w:szCs w:val="20"/>
          <w:color w:val="auto"/>
        </w:rPr>
      </w:pPr>
      <w:r>
        <w:rPr>
          <w:rFonts w:ascii="Times New Roman" w:cs="Times New Roman" w:eastAsia="Times New Roman" w:hAnsi="Times New Roman"/>
          <w:sz w:val="16"/>
          <w:szCs w:val="16"/>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w:t>
      </w:r>
    </w:p>
    <w:p>
      <w:pPr>
        <w:spacing w:after="0" w:line="1" w:lineRule="exact"/>
        <w:rPr>
          <w:sz w:val="20"/>
          <w:szCs w:val="20"/>
          <w:color w:val="auto"/>
        </w:rPr>
      </w:pPr>
    </w:p>
    <w:p>
      <w:pPr>
        <w:ind w:left="2" w:right="80" w:hanging="2"/>
        <w:spacing w:after="0" w:line="357" w:lineRule="auto"/>
        <w:tabs>
          <w:tab w:leader="none" w:pos="22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above, (b) certain ordinary cash dividends, or (c) to satisfy the redemption rights of the holders of Common Stock in connection with a stockholder vote to amend our Amended and Restated Certificate of Incorporation with respect to any provisions relating to stockholders’ rights,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05" w:lineRule="exact"/>
        <w:rPr>
          <w:sz w:val="20"/>
          <w:szCs w:val="20"/>
          <w:color w:val="auto"/>
        </w:rPr>
      </w:pPr>
    </w:p>
    <w:p>
      <w:pPr>
        <w:jc w:val="both"/>
        <w:ind w:left="2" w:right="260" w:firstLine="294"/>
        <w:spacing w:after="0" w:line="361" w:lineRule="auto"/>
        <w:rPr>
          <w:sz w:val="20"/>
          <w:szCs w:val="20"/>
          <w:color w:val="auto"/>
        </w:rPr>
      </w:pPr>
      <w:r>
        <w:rPr>
          <w:rFonts w:ascii="Times New Roman" w:cs="Times New Roman" w:eastAsia="Times New Roman" w:hAnsi="Times New Roman"/>
          <w:sz w:val="16"/>
          <w:szCs w:val="16"/>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00" w:lineRule="exact"/>
        <w:rPr>
          <w:sz w:val="20"/>
          <w:szCs w:val="20"/>
          <w:color w:val="auto"/>
        </w:rPr>
      </w:pPr>
    </w:p>
    <w:p>
      <w:pPr>
        <w:ind w:left="2" w:right="20" w:firstLine="294"/>
        <w:spacing w:after="0" w:line="357" w:lineRule="auto"/>
        <w:rPr>
          <w:sz w:val="20"/>
          <w:szCs w:val="20"/>
          <w:color w:val="auto"/>
        </w:rPr>
      </w:pPr>
      <w:r>
        <w:rPr>
          <w:rFonts w:ascii="Times New Roman" w:cs="Times New Roman" w:eastAsia="Times New Roman" w:hAnsi="Times New Roman"/>
          <w:sz w:val="16"/>
          <w:szCs w:val="16"/>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2"/>
          </w:cols>
          <w:pgMar w:left="318" w:top="1335" w:right="339" w:bottom="1440" w:gutter="0" w:footer="0" w:header="0"/>
        </w:sectPr>
      </w:pPr>
    </w:p>
    <w:bookmarkStart w:id="211" w:name="page212"/>
    <w:bookmarkEnd w:id="211"/>
    <w:p>
      <w:pPr>
        <w:ind w:firstLine="294"/>
        <w:spacing w:after="0" w:line="345" w:lineRule="auto"/>
        <w:rPr>
          <w:sz w:val="20"/>
          <w:szCs w:val="20"/>
          <w:color w:val="auto"/>
        </w:rPr>
      </w:pPr>
      <w:r>
        <w:rPr>
          <w:rFonts w:ascii="Times New Roman" w:cs="Times New Roman" w:eastAsia="Times New Roman" w:hAnsi="Times New Roman"/>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received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warrant exercise price will be reduced as specified in the Warrant Agreement (as defined below) based on the Black-Scholes value (as defined in the Warrant Agreement) of the Public Warrant.</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 about the Public Warrants</w:t>
      </w:r>
    </w:p>
    <w:p>
      <w:pPr>
        <w:spacing w:after="0" w:line="224" w:lineRule="exact"/>
        <w:rPr>
          <w:sz w:val="20"/>
          <w:szCs w:val="20"/>
          <w:color w:val="auto"/>
        </w:rPr>
      </w:pPr>
    </w:p>
    <w:p>
      <w:pPr>
        <w:ind w:right="80" w:firstLine="294"/>
        <w:spacing w:after="0" w:line="352" w:lineRule="auto"/>
        <w:rPr>
          <w:sz w:val="20"/>
          <w:szCs w:val="20"/>
          <w:color w:val="auto"/>
        </w:rPr>
      </w:pPr>
      <w:r>
        <w:rPr>
          <w:rFonts w:ascii="Times New Roman" w:cs="Times New Roman" w:eastAsia="Times New Roman" w:hAnsi="Times New Roman"/>
          <w:sz w:val="16"/>
          <w:szCs w:val="16"/>
          <w:color w:val="auto"/>
        </w:rPr>
        <w:t>The Public Warrants were issued in registered form under the Warrant Agreement between Computershare Trust Company, N.A., as warrant agent, and us (the “</w:t>
      </w:r>
      <w:r>
        <w:rPr>
          <w:rFonts w:ascii="Times New Roman" w:cs="Times New Roman" w:eastAsia="Times New Roman" w:hAnsi="Times New Roman"/>
          <w:sz w:val="16"/>
          <w:szCs w:val="16"/>
          <w:i w:val="1"/>
          <w:iCs w:val="1"/>
          <w:color w:val="auto"/>
        </w:rPr>
        <w:t>Warrant Agreement</w:t>
      </w:r>
      <w:r>
        <w:rPr>
          <w:rFonts w:ascii="Times New Roman" w:cs="Times New Roman" w:eastAsia="Times New Roman" w:hAnsi="Times New Roman"/>
          <w:sz w:val="16"/>
          <w:szCs w:val="16"/>
          <w:color w:val="auto"/>
        </w:rPr>
        <w:t>”). You should review a copy of the Warrant Agreement, which was filed as Exhibit 4.3 to the registration statement on Form S-1 (File No. 333-251663) filed with the Securities and Exchange Commission (the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on January 31, 2022,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w:t>
      </w:r>
    </w:p>
    <w:p>
      <w:pPr>
        <w:spacing w:after="0" w:line="107" w:lineRule="exact"/>
        <w:rPr>
          <w:sz w:val="20"/>
          <w:szCs w:val="20"/>
          <w:color w:val="auto"/>
        </w:rPr>
      </w:pPr>
    </w:p>
    <w:p>
      <w:pPr>
        <w:ind w:firstLine="294"/>
        <w:spacing w:after="0" w:line="352" w:lineRule="auto"/>
        <w:rPr>
          <w:sz w:val="20"/>
          <w:szCs w:val="20"/>
          <w:color w:val="auto"/>
        </w:rPr>
      </w:pPr>
      <w:r>
        <w:rPr>
          <w:rFonts w:ascii="Times New Roman" w:cs="Times New Roman" w:eastAsia="Times New Roman" w:hAnsi="Times New Roman"/>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or any voting rights until they exercise their warrants and receive shares of Common Stock. After the issuance of shares of Common Stock upon exercise of the Public Warrants, each holder of such shares will be entitled to one vote for each share held of record on all matters to be voted on by stockholders.</w:t>
      </w:r>
    </w:p>
    <w:p>
      <w:pPr>
        <w:spacing w:after="0" w:line="108" w:lineRule="exact"/>
        <w:rPr>
          <w:sz w:val="20"/>
          <w:szCs w:val="20"/>
          <w:color w:val="auto"/>
        </w:rPr>
      </w:pPr>
    </w:p>
    <w:p>
      <w:pPr>
        <w:ind w:right="280" w:firstLine="294"/>
        <w:spacing w:after="0" w:line="387" w:lineRule="auto"/>
        <w:rPr>
          <w:sz w:val="20"/>
          <w:szCs w:val="20"/>
          <w:color w:val="auto"/>
        </w:rPr>
      </w:pPr>
      <w:r>
        <w:rPr>
          <w:rFonts w:ascii="Times New Roman" w:cs="Times New Roman" w:eastAsia="Times New Roman" w:hAnsi="Times New Roman"/>
          <w:sz w:val="16"/>
          <w:szCs w:val="16"/>
          <w:color w:val="auto"/>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180"/>
          </w:cols>
          <w:pgMar w:left="320" w:top="1335" w:right="3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224" w:lineRule="exact"/>
        <w:rPr>
          <w:sz w:val="20"/>
          <w:szCs w:val="20"/>
          <w:color w:val="auto"/>
        </w:rPr>
      </w:pPr>
    </w:p>
    <w:p>
      <w:pPr>
        <w:ind w:firstLine="294"/>
        <w:spacing w:after="0" w:line="352" w:lineRule="auto"/>
        <w:rPr>
          <w:sz w:val="20"/>
          <w:szCs w:val="20"/>
          <w:color w:val="auto"/>
        </w:rPr>
      </w:pPr>
      <w:r>
        <w:rPr>
          <w:rFonts w:ascii="Times New Roman" w:cs="Times New Roman" w:eastAsia="Times New Roman" w:hAnsi="Times New Roman"/>
          <w:sz w:val="16"/>
          <w:szCs w:val="16"/>
          <w:color w:val="auto"/>
        </w:rPr>
        <w:t>Certain provisions of Delaware law, the Amended and Restated Certificate of Incorporation, and the Amended and Restated Bylaws may have the effect of delaying, deferring, or discouraging another person from acquiring control of the Company. They are also designed, in part, to encourage persons seeking to acquire control of the Company to negotiate first with the Board. It is possible that these provisions could make it more difficult to accomplish or could deter transactions that stockholders may otherwise consider to be in their best interests or in the Company’s best interests, including transactions that provide for payment of a premium over the market price for the Company’s shares.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Delaware Law</w:t>
      </w:r>
    </w:p>
    <w:p>
      <w:pPr>
        <w:spacing w:after="0" w:line="224" w:lineRule="exact"/>
        <w:rPr>
          <w:sz w:val="20"/>
          <w:szCs w:val="20"/>
          <w:color w:val="auto"/>
        </w:rPr>
      </w:pPr>
    </w:p>
    <w:p>
      <w:pPr>
        <w:ind w:right="20" w:firstLine="294"/>
        <w:spacing w:after="0" w:line="361" w:lineRule="auto"/>
        <w:rPr>
          <w:sz w:val="20"/>
          <w:szCs w:val="20"/>
          <w:color w:val="auto"/>
        </w:rPr>
      </w:pPr>
      <w:r>
        <w:rPr>
          <w:rFonts w:ascii="Times New Roman" w:cs="Times New Roman" w:eastAsia="Times New Roman" w:hAnsi="Times New Roman"/>
          <w:sz w:val="16"/>
          <w:szCs w:val="16"/>
          <w:color w:val="auto"/>
        </w:rPr>
        <w:t>The Company is governed by the provisions of Section 203 of the DGCL. In general, Section 203 of the DGCL prohibits a public Delaware corporation from engaging in a “business combination” with an “interested stockholder” for a period of three years after the date of the transaction in which the person became an interested stockholder, unless:</w:t>
      </w:r>
    </w:p>
    <w:p>
      <w:pPr>
        <w:spacing w:after="0" w:line="113" w:lineRule="exact"/>
        <w:rPr>
          <w:sz w:val="20"/>
          <w:szCs w:val="20"/>
          <w:color w:val="auto"/>
        </w:rPr>
      </w:pPr>
    </w:p>
    <w:p>
      <w:pPr>
        <w:ind w:left="580" w:right="260" w:hanging="288"/>
        <w:spacing w:after="0" w:line="371" w:lineRule="auto"/>
        <w:tabs>
          <w:tab w:leader="none" w:pos="5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the business combination or the transaction which resulted in the stockholder becoming an interested stockholder was approved by the Board prior to the time that the stockholder became an interested stockholder;</w:t>
      </w:r>
    </w:p>
    <w:p>
      <w:pPr>
        <w:spacing w:after="0" w:line="92" w:lineRule="exact"/>
        <w:rPr>
          <w:rFonts w:ascii="Times New Roman" w:cs="Times New Roman" w:eastAsia="Times New Roman" w:hAnsi="Times New Roman"/>
          <w:sz w:val="16"/>
          <w:szCs w:val="16"/>
          <w:color w:val="auto"/>
        </w:rPr>
      </w:pPr>
    </w:p>
    <w:p>
      <w:pPr>
        <w:ind w:left="580" w:hanging="288"/>
        <w:spacing w:after="0" w:line="357" w:lineRule="auto"/>
        <w:tabs>
          <w:tab w:leader="none" w:pos="5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05" w:lineRule="exact"/>
        <w:rPr>
          <w:rFonts w:ascii="Times New Roman" w:cs="Times New Roman" w:eastAsia="Times New Roman" w:hAnsi="Times New Roman"/>
          <w:sz w:val="16"/>
          <w:szCs w:val="16"/>
          <w:color w:val="auto"/>
        </w:rPr>
      </w:pPr>
    </w:p>
    <w:p>
      <w:pPr>
        <w:jc w:val="both"/>
        <w:ind w:left="580" w:hanging="288"/>
        <w:spacing w:after="0" w:line="361" w:lineRule="auto"/>
        <w:tabs>
          <w:tab w:leader="none" w:pos="5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the time the stockholder became an interested stockholder, the business combination was approved by the Board and authorized at an annual or special meeting of the stockholders, and not by written consent, by the affirmative vote of at least two-thirds of the outstanding voting stock which is not owned by the interested stockholder.</w:t>
      </w:r>
    </w:p>
    <w:p>
      <w:pPr>
        <w:spacing w:after="0" w:line="113" w:lineRule="exact"/>
        <w:rPr>
          <w:sz w:val="20"/>
          <w:szCs w:val="20"/>
          <w:color w:val="auto"/>
        </w:rPr>
      </w:pPr>
    </w:p>
    <w:p>
      <w:pPr>
        <w:ind w:right="460" w:firstLine="294"/>
        <w:spacing w:after="0" w:line="352" w:lineRule="auto"/>
        <w:rPr>
          <w:sz w:val="20"/>
          <w:szCs w:val="20"/>
          <w:color w:val="auto"/>
        </w:rPr>
      </w:pPr>
      <w:r>
        <w:rPr>
          <w:rFonts w:ascii="Times New Roman" w:cs="Times New Roman" w:eastAsia="Times New Roman" w:hAnsi="Times New Roman"/>
          <w:sz w:val="16"/>
          <w:szCs w:val="16"/>
          <w:color w:val="auto"/>
        </w:rPr>
        <w:t>In general, Section 203 defines a “business combination” to include mergers, asset sales, and other transactions resulting in financial benefit to an interested stockholder and an “interested stockholder” as a person who, together with affiliates and associates, owns, or, within the prior three years (subject to certain other requirements), did own, 15% or more of the corporation’s outstanding voting stock. We anticipate that Section 203 may also have the effect of delaying, deferring, or preventing changes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1331" w:right="339"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Amended and Restated Certificate of Incorporation and Amended and Restated Bylaws provisions</w:t>
      </w:r>
    </w:p>
    <w:p>
      <w:pPr>
        <w:spacing w:after="0" w:line="224" w:lineRule="exact"/>
        <w:rPr>
          <w:sz w:val="20"/>
          <w:szCs w:val="20"/>
          <w:color w:val="auto"/>
        </w:rPr>
      </w:pPr>
    </w:p>
    <w:p>
      <w:pPr>
        <w:ind w:right="260" w:firstLine="294"/>
        <w:spacing w:after="0" w:line="387" w:lineRule="auto"/>
        <w:rPr>
          <w:sz w:val="20"/>
          <w:szCs w:val="20"/>
          <w:color w:val="auto"/>
        </w:rPr>
      </w:pPr>
      <w:r>
        <w:rPr>
          <w:rFonts w:ascii="Times New Roman" w:cs="Times New Roman" w:eastAsia="Times New Roman" w:hAnsi="Times New Roman"/>
          <w:sz w:val="16"/>
          <w:szCs w:val="16"/>
          <w:color w:val="auto"/>
        </w:rPr>
        <w:t>The Amended and Restated Certificate of Incorporation and the Amended and Restated Bylaws include a number of provisions that could deter hostile takeovers or delay or prevent changes in control of the Board or management team, including the following:</w:t>
      </w:r>
    </w:p>
    <w:p>
      <w:pPr>
        <w:spacing w:after="0" w:line="76" w:lineRule="exact"/>
        <w:rPr>
          <w:sz w:val="20"/>
          <w:szCs w:val="20"/>
          <w:color w:val="auto"/>
        </w:rPr>
      </w:pPr>
    </w:p>
    <w:p>
      <w:pPr>
        <w:ind w:left="580" w:hanging="288"/>
        <w:spacing w:after="0" w:line="353" w:lineRule="auto"/>
        <w:tabs>
          <w:tab w:leader="none" w:pos="5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Board of Directors Vacancies. </w:t>
      </w:r>
      <w:r>
        <w:rPr>
          <w:rFonts w:ascii="Times New Roman" w:cs="Times New Roman" w:eastAsia="Times New Roman" w:hAnsi="Times New Roman"/>
          <w:sz w:val="16"/>
          <w:szCs w:val="16"/>
          <w:color w:val="auto"/>
        </w:rPr>
        <w:t>The Amended and Restated Certificate of Incorporation and Amended and Restated Bylaws authorize only a majority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remaining members of the Board, although less than a quorum, to fill vacant directorships, including newly created seats. In addition, subject to the rights of holders of any series of Preferred Stock, the number of directors constituting the Board will be permitted to be set only by a resolution adopted by a majority of the Board. These provisions would prevent a stockholder from increasing the size of the Board and then gaining control of the Board by filling the resulting vacancies with its own nominees. This will make it more difficult to change the composition of the Board and will promote continuity of management.</w:t>
      </w:r>
    </w:p>
    <w:p>
      <w:pPr>
        <w:spacing w:after="0" w:line="116" w:lineRule="exact"/>
        <w:rPr>
          <w:rFonts w:ascii="Times New Roman" w:cs="Times New Roman" w:eastAsia="Times New Roman" w:hAnsi="Times New Roman"/>
          <w:sz w:val="16"/>
          <w:szCs w:val="16"/>
          <w:color w:val="auto"/>
        </w:rPr>
      </w:pPr>
    </w:p>
    <w:p>
      <w:pPr>
        <w:ind w:left="580" w:right="60" w:hanging="288"/>
        <w:spacing w:after="0" w:line="349" w:lineRule="auto"/>
        <w:tabs>
          <w:tab w:leader="none" w:pos="5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Classified Board</w:t>
      </w:r>
      <w:r>
        <w:rPr>
          <w:rFonts w:ascii="Times New Roman" w:cs="Times New Roman" w:eastAsia="Times New Roman" w:hAnsi="Times New Roman"/>
          <w:sz w:val="16"/>
          <w:szCs w:val="16"/>
          <w:color w:val="auto"/>
        </w:rPr>
        <w:t>. The Amended and Restated Certificate of Incorporation and Amended and Restated Bylaws provide that the Board is divided into three classes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directors. For more information on the classified board, see the section titled “</w:t>
      </w:r>
      <w:r>
        <w:rPr>
          <w:rFonts w:ascii="Times New Roman" w:cs="Times New Roman" w:eastAsia="Times New Roman" w:hAnsi="Times New Roman"/>
          <w:sz w:val="16"/>
          <w:szCs w:val="16"/>
          <w:i w:val="1"/>
          <w:iCs w:val="1"/>
          <w:color w:val="auto"/>
        </w:rPr>
        <w:t>Item 10. Directors, Executive Officers and Corporate Governance</w:t>
      </w:r>
      <w:r>
        <w:rPr>
          <w:rFonts w:ascii="Times New Roman" w:cs="Times New Roman" w:eastAsia="Times New Roman" w:hAnsi="Times New Roman"/>
          <w:sz w:val="16"/>
          <w:szCs w:val="16"/>
          <w:color w:val="auto"/>
        </w:rPr>
        <w:t>” in the Annual Report on Form 10-K of which this Exhibit 4.5 is a part. The existence of a classified board of directors could discourage a third-party from making a tender offer or otherwise attempting to obtain control of the Company as it is more difficult and time consuming for stockholders to replace a majority of the directors on a classified board of directors.</w:t>
      </w:r>
    </w:p>
    <w:p>
      <w:pPr>
        <w:spacing w:after="0" w:line="11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Directors Removed Only for Cause. </w:t>
      </w:r>
      <w:r>
        <w:rPr>
          <w:rFonts w:ascii="Times New Roman" w:cs="Times New Roman" w:eastAsia="Times New Roman" w:hAnsi="Times New Roman"/>
          <w:sz w:val="16"/>
          <w:szCs w:val="16"/>
          <w:color w:val="auto"/>
        </w:rPr>
        <w:t>The Amended and Restated Certificate of Incorporation provides that stockholders may remove directors only for cause.</w:t>
      </w:r>
    </w:p>
    <w:p>
      <w:pPr>
        <w:spacing w:after="0" w:line="220" w:lineRule="exact"/>
        <w:rPr>
          <w:rFonts w:ascii="Times New Roman" w:cs="Times New Roman" w:eastAsia="Times New Roman" w:hAnsi="Times New Roman"/>
          <w:sz w:val="16"/>
          <w:szCs w:val="16"/>
          <w:color w:val="auto"/>
        </w:rPr>
      </w:pPr>
    </w:p>
    <w:p>
      <w:pPr>
        <w:ind w:left="580" w:hanging="288"/>
        <w:spacing w:after="0" w:line="350" w:lineRule="auto"/>
        <w:tabs>
          <w:tab w:leader="none" w:pos="5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Stockholder Action; Special Meeting of Stockholders. </w:t>
      </w:r>
      <w:r>
        <w:rPr>
          <w:rFonts w:ascii="Times New Roman" w:cs="Times New Roman" w:eastAsia="Times New Roman" w:hAnsi="Times New Roman"/>
          <w:sz w:val="16"/>
          <w:szCs w:val="16"/>
          <w:color w:val="auto"/>
        </w:rPr>
        <w:t>The Amended and Restated Certificate of Incorporation and Amended and Restated Bylaws provide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stockholders may not take action by written consent but may only take action at annual or special meetings of the stockholders. As a result, a holder controlling a majority of the Company’s capital stock would not be able to amend the Amended and Restated Bylaws, amend the Amended and Restated Certificate of Incorporation or remove directors without holding a meeting of stockholders called in accordance with the Amended and Restated Certificate of Incorporation and Amended and Restated Bylaws. The Amended and Restated Certificate of Incorporation and Amended and Restated Bylaws further provide that special meetings of stockholders may be called only by a majority of the Board, the chair of the Board, the Chief Executive Officer of the Company or the president of the Company, thus prohibiting stockholder action to call a special meeting. These provisions might delay the ability of stockholders to force consideration of a proposal or for stockholders controlling a majority of the Company’s capital stock to take any action, including the removal of directors.</w:t>
      </w:r>
    </w:p>
    <w:p>
      <w:pPr>
        <w:spacing w:after="0" w:line="106" w:lineRule="exact"/>
        <w:rPr>
          <w:rFonts w:ascii="Times New Roman" w:cs="Times New Roman" w:eastAsia="Times New Roman" w:hAnsi="Times New Roman"/>
          <w:sz w:val="16"/>
          <w:szCs w:val="16"/>
          <w:color w:val="auto"/>
        </w:rPr>
      </w:pPr>
    </w:p>
    <w:p>
      <w:pPr>
        <w:ind w:left="580" w:right="160" w:hanging="288"/>
        <w:spacing w:after="0" w:line="376" w:lineRule="auto"/>
        <w:tabs>
          <w:tab w:leader="none" w:pos="57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Advance Notice Requirements for Stockholder Proposals and Director Nominations. </w:t>
      </w:r>
      <w:r>
        <w:rPr>
          <w:rFonts w:ascii="Times New Roman" w:cs="Times New Roman" w:eastAsia="Times New Roman" w:hAnsi="Times New Roman"/>
          <w:sz w:val="16"/>
          <w:szCs w:val="16"/>
          <w:color w:val="auto"/>
        </w:rPr>
        <w:t>The Amended and Restated Certificate of Incorporation and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Restated Bylaws provide advance notice procedures for stockholders seeking to bring business before the annual meeting of stockholders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331" w:right="339" w:bottom="1440" w:gutter="0" w:footer="0" w:header="0"/>
        </w:sectPr>
      </w:pPr>
    </w:p>
    <w:bookmarkStart w:id="214" w:name="page215"/>
    <w:bookmarkEnd w:id="214"/>
    <w:p>
      <w:pPr>
        <w:ind w:left="288"/>
        <w:spacing w:after="0" w:line="352" w:lineRule="auto"/>
        <w:rPr>
          <w:sz w:val="20"/>
          <w:szCs w:val="20"/>
          <w:color w:val="auto"/>
        </w:rPr>
      </w:pPr>
      <w:r>
        <w:rPr>
          <w:rFonts w:ascii="Times New Roman" w:cs="Times New Roman" w:eastAsia="Times New Roman" w:hAnsi="Times New Roman"/>
          <w:sz w:val="16"/>
          <w:szCs w:val="16"/>
          <w:color w:val="auto"/>
        </w:rPr>
        <w:t>nominate candidates for election as directors at stockholder meetings. The Amended and Restated Bylaws also specify certain requirements regarding the form and content of a stockholder’s notice. These provisions might preclude stockholders from bringing matters before the annual meeting of stockholders or from making nominations for directors at meetings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17" w:lineRule="exact"/>
        <w:rPr>
          <w:sz w:val="20"/>
          <w:szCs w:val="20"/>
          <w:color w:val="auto"/>
        </w:rPr>
      </w:pPr>
    </w:p>
    <w:p>
      <w:pPr>
        <w:ind w:left="288" w:right="240" w:hanging="288"/>
        <w:spacing w:after="0" w:line="376" w:lineRule="auto"/>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Cumulative Voting. </w:t>
      </w:r>
      <w:r>
        <w:rPr>
          <w:rFonts w:ascii="Times New Roman" w:cs="Times New Roman" w:eastAsia="Times New Roman" w:hAnsi="Times New Roman"/>
          <w:sz w:val="16"/>
          <w:szCs w:val="16"/>
          <w:color w:val="auto"/>
        </w:rPr>
        <w:t>The DGCL provides that stockholders are not entitled to cumulate votes in the election of directors unless a corporation’s certificate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incorporation provides otherwise. The Amended and Restated Certificate of Incorporation does not provide for cumulative voting.</w:t>
      </w:r>
    </w:p>
    <w:p>
      <w:pPr>
        <w:spacing w:after="0" w:line="96" w:lineRule="exact"/>
        <w:rPr>
          <w:rFonts w:ascii="Times New Roman" w:cs="Times New Roman" w:eastAsia="Times New Roman" w:hAnsi="Times New Roman"/>
          <w:sz w:val="16"/>
          <w:szCs w:val="16"/>
          <w:color w:val="auto"/>
        </w:rPr>
      </w:pPr>
    </w:p>
    <w:p>
      <w:pPr>
        <w:ind w:left="288" w:right="280" w:hanging="288"/>
        <w:spacing w:after="0" w:line="376" w:lineRule="auto"/>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Amendment of Charter and Bylaws Provisions. </w:t>
      </w:r>
      <w:r>
        <w:rPr>
          <w:rFonts w:ascii="Times New Roman" w:cs="Times New Roman" w:eastAsia="Times New Roman" w:hAnsi="Times New Roman"/>
          <w:sz w:val="16"/>
          <w:szCs w:val="16"/>
          <w:color w:val="auto"/>
        </w:rPr>
        <w:t>Any amendment of the above provisions in the Amended and Restated Certificate of Incorporation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and Restated Bylaws will require approval by holders of at least two-thirds of the voting power of the Company’s then outstanding voting securities.</w:t>
      </w:r>
    </w:p>
    <w:p>
      <w:pPr>
        <w:spacing w:after="0" w:line="96" w:lineRule="exact"/>
        <w:rPr>
          <w:rFonts w:ascii="Times New Roman" w:cs="Times New Roman" w:eastAsia="Times New Roman" w:hAnsi="Times New Roman"/>
          <w:sz w:val="16"/>
          <w:szCs w:val="16"/>
          <w:color w:val="auto"/>
        </w:rPr>
      </w:pPr>
    </w:p>
    <w:p>
      <w:pPr>
        <w:ind w:left="288" w:right="120" w:hanging="288"/>
        <w:spacing w:after="0" w:line="354" w:lineRule="auto"/>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Issuance of Undesignated Preferred Stock. </w:t>
      </w:r>
      <w:r>
        <w:rPr>
          <w:rFonts w:ascii="Times New Roman" w:cs="Times New Roman" w:eastAsia="Times New Roman" w:hAnsi="Times New Roman"/>
          <w:sz w:val="16"/>
          <w:szCs w:val="16"/>
          <w:color w:val="auto"/>
        </w:rPr>
        <w:t>The Amended and Restated Certificate of Incorporation provides that the Board will have the authority,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further action by stockholders, to issue up to 250,000,000 shares of undesignated Preferred Stock with rights, powers and preferences, including voting rights, designated from time to time by the Board. The existence of authorized but unissued shares of Preferred Stock would enable the Board to render more difficult or to discourage an attempt to obtain control of the Company by means of a tender offer, proxy contest, or other means.</w:t>
      </w:r>
    </w:p>
    <w:p>
      <w:pPr>
        <w:spacing w:after="0" w:line="102" w:lineRule="exact"/>
        <w:rPr>
          <w:rFonts w:ascii="Times New Roman" w:cs="Times New Roman" w:eastAsia="Times New Roman" w:hAnsi="Times New Roman"/>
          <w:sz w:val="16"/>
          <w:szCs w:val="16"/>
          <w:color w:val="auto"/>
        </w:rPr>
      </w:pPr>
    </w:p>
    <w:p>
      <w:pPr>
        <w:ind w:left="288" w:right="20" w:hanging="288"/>
        <w:spacing w:after="0" w:line="346" w:lineRule="auto"/>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Exclusive Forum. </w:t>
      </w:r>
      <w:r>
        <w:rPr>
          <w:rFonts w:ascii="Times New Roman" w:cs="Times New Roman" w:eastAsia="Times New Roman" w:hAnsi="Times New Roman"/>
          <w:sz w:val="16"/>
          <w:szCs w:val="16"/>
          <w:color w:val="auto"/>
        </w:rPr>
        <w:t>The Amended and Restated Bylaws provide that, unless otherwise consented to by the Company in writing, the Court of Chancery of the State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any director, stockholder, officer or other employee of the Company to the Company or the Company’s stockholders, (iii) any action arising pursuant to any provision of the DGCL or the Amended and Restated Certificate of Incorporation or the Amended and Restated Bylaws (as either may be amended from time to time) or (iv) any action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This provision would not apply to suits brought to enforce a duty or liability created by the Exchange Act or any other claim for which the U.S. federal courts have exclusive jurisdiction. The Amended and Restated Bylaws further provide that, unless otherwise consented to by the Company in writing, the federal district courts of the United States will be the sole and exclusive forum for the resolution of any complaint asserting a cause of action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2"/>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0948"/>
          </w:cols>
          <w:pgMar w:left="612" w:top="1335" w:right="339" w:bottom="1440" w:gutter="0" w:footer="0" w:header="0"/>
        </w:sectPr>
      </w:pPr>
    </w:p>
    <w:bookmarkStart w:id="215" w:name="page216"/>
    <w:bookmarkEnd w:id="215"/>
    <w:p>
      <w:pPr>
        <w:ind w:left="580" w:right="20"/>
        <w:spacing w:after="0" w:line="347" w:lineRule="auto"/>
        <w:rPr>
          <w:sz w:val="20"/>
          <w:szCs w:val="20"/>
          <w:color w:val="auto"/>
        </w:rPr>
      </w:pPr>
      <w:r>
        <w:rPr>
          <w:rFonts w:ascii="Times New Roman" w:cs="Times New Roman" w:eastAsia="Times New Roman" w:hAnsi="Times New Roman"/>
          <w:sz w:val="16"/>
          <w:szCs w:val="16"/>
          <w:color w:val="auto"/>
        </w:rPr>
        <w:t>under the Securities Act of 1933 (the “</w:t>
      </w:r>
      <w:r>
        <w:rPr>
          <w:rFonts w:ascii="Times New Roman" w:cs="Times New Roman" w:eastAsia="Times New Roman" w:hAnsi="Times New Roman"/>
          <w:sz w:val="16"/>
          <w:szCs w:val="16"/>
          <w:i w:val="1"/>
          <w:iCs w:val="1"/>
          <w:color w:val="auto"/>
        </w:rPr>
        <w:t>Securities Act</w:t>
      </w:r>
      <w:r>
        <w:rPr>
          <w:rFonts w:ascii="Times New Roman" w:cs="Times New Roman" w:eastAsia="Times New Roman" w:hAnsi="Times New Roman"/>
          <w:sz w:val="16"/>
          <w:szCs w:val="16"/>
          <w:color w:val="auto"/>
        </w:rPr>
        <w:t>”) against any person in connection with any offering of the Company’s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Amended and Restated Bylaws. However, there can be no assurance that the provision will be enforced by a court in those other jurisdictions. Any person or entity purchasing, holding, or otherwise acquiring any interest in the Company’s securities shall be deemed to have notice of and consented to these provisions. These provisions may have the effect of discouraging lawsuits against the Company or its directors and officers.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224" w:lineRule="exact"/>
        <w:rPr>
          <w:sz w:val="20"/>
          <w:szCs w:val="20"/>
          <w:color w:val="auto"/>
        </w:rPr>
      </w:pPr>
    </w:p>
    <w:p>
      <w:pPr>
        <w:ind w:firstLine="294"/>
        <w:spacing w:after="0" w:line="349" w:lineRule="auto"/>
        <w:rPr>
          <w:sz w:val="20"/>
          <w:szCs w:val="20"/>
          <w:color w:val="auto"/>
        </w:rPr>
      </w:pPr>
      <w:r>
        <w:rPr>
          <w:rFonts w:ascii="Times New Roman" w:cs="Times New Roman" w:eastAsia="Times New Roman" w:hAnsi="Times New Roman"/>
          <w:sz w:val="16"/>
          <w:szCs w:val="16"/>
          <w:color w:val="auto"/>
        </w:rPr>
        <w:t>A person who has beneficially owned restricted shares of Common Stock or Special Voting Common Stock for at least six months would be entitled to sell their shares provided that (i) such person is not deemed to have been one of the Company’s affiliates at the time of, or at any time during the three months preceding, a sale and (ii) the Company is subject to the Exchange Act periodic reporting requirements for at least three months before the sale and has filed all required reports under Section 13 or 15(d) of the Exchange Act during the 12 months (or such shorter period as the Company was required to file reports). Persons who have beneficially owned restricted shares of Common Stock or Special Voting Common Stock for at least six months but who are the Company’s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11" w:lineRule="exact"/>
        <w:rPr>
          <w:sz w:val="20"/>
          <w:szCs w:val="20"/>
          <w:color w:val="auto"/>
        </w:rPr>
      </w:pPr>
    </w:p>
    <w:p>
      <w:pPr>
        <w:ind w:left="580" w:hanging="288"/>
        <w:spacing w:after="0"/>
        <w:tabs>
          <w:tab w:leader="none" w:pos="5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of the number of shares then outstanding; and</w:t>
      </w:r>
    </w:p>
    <w:p>
      <w:pPr>
        <w:spacing w:after="0" w:line="232" w:lineRule="exact"/>
        <w:rPr>
          <w:rFonts w:ascii="Times New Roman" w:cs="Times New Roman" w:eastAsia="Times New Roman" w:hAnsi="Times New Roman"/>
          <w:sz w:val="16"/>
          <w:szCs w:val="16"/>
          <w:color w:val="auto"/>
        </w:rPr>
      </w:pPr>
    </w:p>
    <w:p>
      <w:pPr>
        <w:ind w:left="580" w:right="40" w:hanging="288"/>
        <w:spacing w:after="0" w:line="371" w:lineRule="auto"/>
        <w:tabs>
          <w:tab w:leader="none" w:pos="57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weekly trading volume of the shares of common stock during the four calendar weeks preceding the filing of a notice on Form 144 with respect to the sale.</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Sales under Rule 144 are also limited by manner of sale provisions and notice requirements and to the availability of current public information about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234" w:lineRule="exact"/>
        <w:rPr>
          <w:sz w:val="20"/>
          <w:szCs w:val="20"/>
          <w:color w:val="auto"/>
        </w:rPr>
      </w:pPr>
    </w:p>
    <w:p>
      <w:pPr>
        <w:ind w:right="120" w:firstLine="154"/>
        <w:spacing w:after="0" w:line="354" w:lineRule="auto"/>
        <w:rPr>
          <w:sz w:val="20"/>
          <w:szCs w:val="20"/>
          <w:color w:val="auto"/>
        </w:rPr>
      </w:pPr>
      <w:r>
        <w:rPr>
          <w:rFonts w:ascii="Times New Roman" w:cs="Times New Roman" w:eastAsia="Times New Roman" w:hAnsi="Times New Roman"/>
          <w:sz w:val="16"/>
          <w:szCs w:val="16"/>
          <w:color w:val="auto"/>
        </w:rPr>
        <w:t>At the consummation of the Business Combination, the Company entered into that certain Registration Rights Agreement (the “</w:t>
      </w:r>
      <w:r>
        <w:rPr>
          <w:rFonts w:ascii="Times New Roman" w:cs="Times New Roman" w:eastAsia="Times New Roman" w:hAnsi="Times New Roman"/>
          <w:sz w:val="16"/>
          <w:szCs w:val="16"/>
          <w:i w:val="1"/>
          <w:iCs w:val="1"/>
          <w:color w:val="auto"/>
        </w:rPr>
        <w:t>Registration Rights Agreement</w:t>
      </w:r>
      <w:r>
        <w:rPr>
          <w:rFonts w:ascii="Times New Roman" w:cs="Times New Roman" w:eastAsia="Times New Roman" w:hAnsi="Times New Roman"/>
          <w:sz w:val="16"/>
          <w:szCs w:val="16"/>
          <w:color w:val="auto"/>
        </w:rPr>
        <w:t>”). The Registration Rights Holders and any person or entity who hereafter becomes a party to the Registration Rights Agreement, a “</w:t>
      </w:r>
      <w:r>
        <w:rPr>
          <w:rFonts w:ascii="Times New Roman" w:cs="Times New Roman" w:eastAsia="Times New Roman" w:hAnsi="Times New Roman"/>
          <w:sz w:val="16"/>
          <w:szCs w:val="16"/>
          <w:i w:val="1"/>
          <w:iCs w:val="1"/>
          <w:color w:val="auto"/>
        </w:rPr>
        <w:t>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i w:val="1"/>
          <w:iCs w:val="1"/>
          <w:color w:val="auto"/>
        </w:rPr>
        <w:t>Holders,</w:t>
      </w:r>
      <w:r>
        <w:rPr>
          <w:rFonts w:ascii="Times New Roman" w:cs="Times New Roman" w:eastAsia="Times New Roman" w:hAnsi="Times New Roman"/>
          <w:sz w:val="16"/>
          <w:szCs w:val="16"/>
          <w:color w:val="auto"/>
        </w:rPr>
        <w:t>” will be entitled to registration rights pursuant to the terms of the Registration Rights Agreement.</w:t>
      </w:r>
    </w:p>
    <w:p>
      <w:pPr>
        <w:spacing w:after="0" w:line="118" w:lineRule="exact"/>
        <w:rPr>
          <w:sz w:val="20"/>
          <w:szCs w:val="20"/>
          <w:color w:val="auto"/>
        </w:rPr>
      </w:pPr>
    </w:p>
    <w:p>
      <w:pPr>
        <w:ind w:right="20" w:firstLine="588"/>
        <w:spacing w:after="0" w:line="361" w:lineRule="auto"/>
        <w:rPr>
          <w:sz w:val="20"/>
          <w:szCs w:val="20"/>
          <w:color w:val="auto"/>
        </w:rPr>
      </w:pPr>
      <w:r>
        <w:rPr>
          <w:rFonts w:ascii="Times New Roman" w:cs="Times New Roman" w:eastAsia="Times New Roman" w:hAnsi="Times New Roman"/>
          <w:sz w:val="16"/>
          <w:szCs w:val="16"/>
          <w:color w:val="auto"/>
        </w:rPr>
        <w:t>Pursuant to the Registration Rights Agreement, the Company filed a shelf registration statement registering the resale of the Holders’ shares on Form S-1 (File No. 333-251663) with the Securities and Exchange Commission on January 31, 2022 (which was converted into a Form S-3 in a post-effective amendment filed on March 23, 2023). The Holders are each entitled to make up to six demands for registration, excluding short form demands,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40"/>
          </w:cols>
          <w:pgMar w:left="320" w:top="1333" w:right="339" w:bottom="1440" w:gutter="0" w:footer="0" w:header="0"/>
        </w:sectPr>
      </w:pPr>
    </w:p>
    <w:bookmarkStart w:id="216" w:name="page217"/>
    <w:bookmarkEnd w:id="216"/>
    <w:p>
      <w:pPr>
        <w:ind w:right="20"/>
        <w:spacing w:after="0" w:line="352" w:lineRule="auto"/>
        <w:rPr>
          <w:sz w:val="20"/>
          <w:szCs w:val="20"/>
          <w:color w:val="auto"/>
        </w:rPr>
      </w:pPr>
      <w:r>
        <w:rPr>
          <w:rFonts w:ascii="Times New Roman" w:cs="Times New Roman" w:eastAsia="Times New Roman" w:hAnsi="Times New Roman"/>
          <w:sz w:val="16"/>
          <w:szCs w:val="16"/>
          <w:color w:val="auto"/>
        </w:rPr>
        <w:t>Company register the shares held by these parties. In addition, the Holders have certain “piggy-back” registration rights. Holders who are Sonder Stockholders and not affiliates (as defined under Rule 144 under the Securities Act) of the Company are not entitled to registration rights with respect to shelf underwritten offerings and demand registrations initiated by the Gores Holders (as defined in the Registration Rights Agreement). The Company will bear the expenses incurred in connection with the filing of any registration statements filed pursuant to the terms of the Registration Rights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w:t>
      </w:r>
    </w:p>
    <w:p>
      <w:pPr>
        <w:spacing w:after="0" w:line="224" w:lineRule="exact"/>
        <w:rPr>
          <w:sz w:val="20"/>
          <w:szCs w:val="20"/>
          <w:color w:val="auto"/>
        </w:rPr>
      </w:pPr>
    </w:p>
    <w:p>
      <w:pPr>
        <w:ind w:right="140" w:firstLine="294"/>
        <w:spacing w:after="0" w:line="387" w:lineRule="auto"/>
        <w:rPr>
          <w:sz w:val="20"/>
          <w:szCs w:val="20"/>
          <w:color w:val="auto"/>
        </w:rPr>
      </w:pPr>
      <w:r>
        <w:rPr>
          <w:rFonts w:ascii="Times New Roman" w:cs="Times New Roman" w:eastAsia="Times New Roman" w:hAnsi="Times New Roman"/>
          <w:sz w:val="16"/>
          <w:szCs w:val="16"/>
          <w:color w:val="auto"/>
        </w:rPr>
        <w:t>The Amended and Restated Certificate of Incorporation limits the Company’s directors’ liability to the fullest extent permitted under the DGCL. The DGCL provides that directors of a corporation will not be personally liable for monetary damages for breach of their fiduciary duties as directors, except for liability:</w:t>
      </w:r>
    </w:p>
    <w:p>
      <w:pPr>
        <w:spacing w:after="0" w:line="80" w:lineRule="exact"/>
        <w:rPr>
          <w:sz w:val="20"/>
          <w:szCs w:val="20"/>
          <w:color w:val="auto"/>
        </w:rPr>
      </w:pPr>
    </w:p>
    <w:p>
      <w:pPr>
        <w:ind w:left="580" w:hanging="288"/>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transaction from which the director derives an improper personal benefit;</w:t>
      </w:r>
    </w:p>
    <w:p>
      <w:pPr>
        <w:spacing w:after="0" w:line="232"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act or omission not in good faith or that involves intentional misconduct or a knowing violation of law;</w:t>
      </w:r>
    </w:p>
    <w:p>
      <w:pPr>
        <w:spacing w:after="0" w:line="220"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unlawful payment of dividends or redemption of shares; or</w:t>
      </w:r>
    </w:p>
    <w:p>
      <w:pPr>
        <w:spacing w:after="0" w:line="232"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breach of a director’s duty of loyalty to the corporation or its stockholders.</w:t>
      </w:r>
    </w:p>
    <w:p>
      <w:pPr>
        <w:spacing w:after="0" w:line="220" w:lineRule="exact"/>
        <w:rPr>
          <w:sz w:val="20"/>
          <w:szCs w:val="20"/>
          <w:color w:val="auto"/>
        </w:rPr>
      </w:pPr>
    </w:p>
    <w:p>
      <w:pPr>
        <w:ind w:firstLine="294"/>
        <w:spacing w:after="0" w:line="352" w:lineRule="auto"/>
        <w:rPr>
          <w:sz w:val="20"/>
          <w:szCs w:val="20"/>
          <w:color w:val="auto"/>
        </w:rPr>
      </w:pPr>
      <w:r>
        <w:rPr>
          <w:rFonts w:ascii="Times New Roman" w:cs="Times New Roman" w:eastAsia="Times New Roman" w:hAnsi="Times New Roman"/>
          <w:sz w:val="16"/>
          <w:szCs w:val="16"/>
          <w:color w:val="auto"/>
        </w:rPr>
        <w:t>If the DGCL is amended to authorize corporate action further eliminating or limiting the personal liability of directors, then the liability of the Company’s directors will be eliminated or limited to the fullest extent permitted by the DGCL, as so amended. The DGCL and the Amended and Restated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08" w:lineRule="exact"/>
        <w:rPr>
          <w:sz w:val="20"/>
          <w:szCs w:val="20"/>
          <w:color w:val="auto"/>
        </w:rPr>
      </w:pPr>
    </w:p>
    <w:p>
      <w:pPr>
        <w:ind w:right="420" w:firstLine="294"/>
        <w:spacing w:after="0" w:line="357" w:lineRule="auto"/>
        <w:rPr>
          <w:sz w:val="20"/>
          <w:szCs w:val="20"/>
          <w:color w:val="auto"/>
        </w:rPr>
      </w:pPr>
      <w:r>
        <w:rPr>
          <w:rFonts w:ascii="Times New Roman" w:cs="Times New Roman" w:eastAsia="Times New Roman" w:hAnsi="Times New Roman"/>
          <w:sz w:val="16"/>
          <w:szCs w:val="16"/>
          <w:color w:val="auto"/>
        </w:rPr>
        <w:t>In addition, the Company has entered into and will continue to enter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05" w:lineRule="exact"/>
        <w:rPr>
          <w:sz w:val="20"/>
          <w:szCs w:val="20"/>
          <w:color w:val="auto"/>
        </w:rPr>
      </w:pPr>
    </w:p>
    <w:p>
      <w:pPr>
        <w:ind w:right="380" w:firstLine="294"/>
        <w:spacing w:after="0" w:line="352" w:lineRule="auto"/>
        <w:rPr>
          <w:sz w:val="20"/>
          <w:szCs w:val="20"/>
          <w:color w:val="auto"/>
        </w:rPr>
      </w:pPr>
      <w:r>
        <w:rPr>
          <w:rFonts w:ascii="Times New Roman" w:cs="Times New Roman" w:eastAsia="Times New Roman" w:hAnsi="Times New Roman"/>
          <w:sz w:val="16"/>
          <w:szCs w:val="16"/>
          <w:color w:val="auto"/>
        </w:rPr>
        <w:t>The Company plans to maintain a directors’ and officers’ insurance policy pursuant to which the Company’s directors and officers are insured against liability for actions taken in their capacities as directors and officers. The Company believes these provisions in the Amended and Restated Certificate of Incorporation and the Amended and Restated Bylaws and these indemnification agreements and insurance arrangements are necessary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240"/>
          </w:cols>
          <w:pgMar w:left="320" w:top="1335" w:right="339" w:bottom="1440" w:gutter="0" w:footer="0" w:header="0"/>
        </w:sectPr>
      </w:pPr>
    </w:p>
    <w:bookmarkStart w:id="217" w:name="page218"/>
    <w:bookmarkEnd w:id="217"/>
    <w:p>
      <w:pPr>
        <w:ind w:right="300" w:firstLine="294"/>
        <w:spacing w:after="0" w:line="37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224" w:lineRule="exact"/>
        <w:rPr>
          <w:sz w:val="20"/>
          <w:szCs w:val="20"/>
          <w:color w:val="auto"/>
        </w:rPr>
      </w:pPr>
    </w:p>
    <w:p>
      <w:pPr>
        <w:spacing w:after="0" w:line="387" w:lineRule="auto"/>
        <w:rPr>
          <w:sz w:val="20"/>
          <w:szCs w:val="20"/>
          <w:color w:val="auto"/>
        </w:rPr>
      </w:pPr>
      <w:r>
        <w:rPr>
          <w:rFonts w:ascii="Times New Roman" w:cs="Times New Roman" w:eastAsia="Times New Roman" w:hAnsi="Times New Roman"/>
          <w:sz w:val="16"/>
          <w:szCs w:val="16"/>
          <w:color w:val="auto"/>
        </w:rPr>
        <w:t>As of the date of the Annual Report on Form 10-K of which this Exhibit 4.5 is a part, our Common Stock is listed on the NASDAQ Global Select Market under the symbol “SOND” and our Public Warrants are listed on the NASDAQ Capital Market under the symbol “SONDW.”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transfer agent and registrar for the Company’s Common Stock is Computershare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1200"/>
          </w:cols>
          <w:pgMar w:left="320" w:top="1335" w:right="37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0"/>
          <w:szCs w:val="20"/>
          <w:color w:val="auto"/>
        </w:rPr>
        <w:t>Exhibit 10.31</w:t>
      </w:r>
    </w:p>
    <w:p>
      <w:pPr>
        <w:spacing w:after="0" w:line="219"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0"/>
          <w:szCs w:val="20"/>
          <w:b w:val="1"/>
          <w:bCs w:val="1"/>
          <w:u w:val="single" w:color="auto"/>
          <w:color w:val="auto"/>
        </w:rPr>
        <w:t>SETTLEMENT AGREEMENT AND</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u w:val="single" w:color="auto"/>
          <w:color w:val="auto"/>
        </w:rPr>
        <w:t>COMPLETE RELEASE OF ALL CLAIMS</w:t>
      </w:r>
    </w:p>
    <w:p>
      <w:pPr>
        <w:spacing w:after="0" w:line="113" w:lineRule="exact"/>
        <w:rPr>
          <w:sz w:val="20"/>
          <w:szCs w:val="20"/>
          <w:color w:val="auto"/>
        </w:rPr>
      </w:pPr>
    </w:p>
    <w:p>
      <w:pPr>
        <w:ind w:left="4" w:right="20" w:hanging="1"/>
        <w:spacing w:after="0" w:line="285" w:lineRule="auto"/>
        <w:rPr>
          <w:sz w:val="20"/>
          <w:szCs w:val="20"/>
          <w:color w:val="auto"/>
        </w:rPr>
      </w:pPr>
      <w:r>
        <w:rPr>
          <w:rFonts w:ascii="Times New Roman" w:cs="Times New Roman" w:eastAsia="Times New Roman" w:hAnsi="Times New Roman"/>
          <w:sz w:val="20"/>
          <w:szCs w:val="20"/>
          <w:color w:val="auto"/>
        </w:rPr>
        <w:t xml:space="preserve">This SETTLEMENT AND GENERAL RELEASE AGREEMENT (the “Agreement”) is entered into by and between </w:t>
      </w:r>
      <w:r>
        <w:rPr>
          <w:rFonts w:ascii="Times New Roman" w:cs="Times New Roman" w:eastAsia="Times New Roman" w:hAnsi="Times New Roman"/>
          <w:sz w:val="20"/>
          <w:szCs w:val="20"/>
          <w:b w:val="1"/>
          <w:bCs w:val="1"/>
          <w:color w:val="auto"/>
        </w:rPr>
        <w:t>Deeksha Hebbar</w:t>
      </w:r>
      <w:r>
        <w:rPr>
          <w:rFonts w:ascii="Times New Roman" w:cs="Times New Roman" w:eastAsia="Times New Roman" w:hAnsi="Times New Roman"/>
          <w:sz w:val="20"/>
          <w:szCs w:val="20"/>
          <w:color w:val="auto"/>
        </w:rPr>
        <w:t xml:space="preserve"> (“Employee”) and </w:t>
      </w:r>
      <w:r>
        <w:rPr>
          <w:rFonts w:ascii="Times New Roman" w:cs="Times New Roman" w:eastAsia="Times New Roman" w:hAnsi="Times New Roman"/>
          <w:sz w:val="20"/>
          <w:szCs w:val="20"/>
          <w:b w:val="1"/>
          <w:bCs w:val="1"/>
          <w:color w:val="auto"/>
        </w:rPr>
        <w:t>Sonder USA Inc.</w:t>
      </w:r>
      <w:r>
        <w:rPr>
          <w:rFonts w:ascii="Times New Roman" w:cs="Times New Roman" w:eastAsia="Times New Roman" w:hAnsi="Times New Roman"/>
          <w:sz w:val="20"/>
          <w:szCs w:val="20"/>
          <w:color w:val="auto"/>
        </w:rPr>
        <w:t xml:space="preserve"> (the “Company”) and collectively, the “Parties.”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99" w:lineRule="exact"/>
        <w:rPr>
          <w:sz w:val="20"/>
          <w:szCs w:val="20"/>
          <w:color w:val="auto"/>
        </w:rPr>
      </w:pPr>
    </w:p>
    <w:p>
      <w:pPr>
        <w:ind w:left="584" w:hanging="584"/>
        <w:spacing w:after="0"/>
        <w:tabs>
          <w:tab w:leader="none" w:pos="5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executed an offer letter agreement which was dated August 1, 2022 (the “Employment Agreement”);</w:t>
      </w:r>
    </w:p>
    <w:p>
      <w:pPr>
        <w:spacing w:after="0" w:line="198" w:lineRule="exact"/>
        <w:rPr>
          <w:rFonts w:ascii="Times New Roman" w:cs="Times New Roman" w:eastAsia="Times New Roman" w:hAnsi="Times New Roman"/>
          <w:sz w:val="20"/>
          <w:szCs w:val="20"/>
          <w:color w:val="auto"/>
        </w:rPr>
      </w:pPr>
    </w:p>
    <w:p>
      <w:pPr>
        <w:ind w:left="4" w:right="20" w:hanging="4"/>
        <w:spacing w:after="0" w:line="268"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participated in the Sonder Holdings Inc. (“SHI”) Key Executive Change in Control and Severance Plan dated October 7, 2021 (the “Severance Plan”) as a Tier 2 Executive as defined in the Severance Plan;</w:t>
      </w:r>
    </w:p>
    <w:p>
      <w:pPr>
        <w:spacing w:after="0" w:line="147" w:lineRule="exact"/>
        <w:rPr>
          <w:rFonts w:ascii="Times New Roman" w:cs="Times New Roman" w:eastAsia="Times New Roman" w:hAnsi="Times New Roman"/>
          <w:sz w:val="20"/>
          <w:szCs w:val="20"/>
          <w:color w:val="auto"/>
        </w:rPr>
      </w:pPr>
    </w:p>
    <w:p>
      <w:pPr>
        <w:jc w:val="both"/>
        <w:ind w:left="4" w:right="20" w:hanging="4"/>
        <w:spacing w:after="0" w:line="261"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employment with the Company will terminate on August 31, 2024 (the “Termination Date”) in accordance with Section 4 of the Employment Agreement and Employee shall cease to participate in Company employee benefits programs as of the end of the day on the Termination Date;</w:t>
      </w:r>
    </w:p>
    <w:p>
      <w:pPr>
        <w:spacing w:after="0" w:line="155" w:lineRule="exact"/>
        <w:rPr>
          <w:rFonts w:ascii="Times New Roman" w:cs="Times New Roman" w:eastAsia="Times New Roman" w:hAnsi="Times New Roman"/>
          <w:sz w:val="20"/>
          <w:szCs w:val="20"/>
          <w:color w:val="auto"/>
        </w:rPr>
      </w:pPr>
    </w:p>
    <w:p>
      <w:pPr>
        <w:ind w:left="4" w:right="20" w:hanging="4"/>
        <w:spacing w:after="0" w:line="268"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Termination Date, Employee experienced a Qualifying Termination outside of a Change in Control Period as defined in the Severance Plan and such Qualifying Termination constituted a Separation from Service as defined in the Severance Plan;</w:t>
      </w:r>
    </w:p>
    <w:p>
      <w:pPr>
        <w:spacing w:after="0" w:line="147" w:lineRule="exact"/>
        <w:rPr>
          <w:rFonts w:ascii="Times New Roman" w:cs="Times New Roman" w:eastAsia="Times New Roman" w:hAnsi="Times New Roman"/>
          <w:sz w:val="20"/>
          <w:szCs w:val="20"/>
          <w:color w:val="auto"/>
        </w:rPr>
      </w:pPr>
    </w:p>
    <w:p>
      <w:pPr>
        <w:jc w:val="both"/>
        <w:ind w:left="4" w:hanging="4"/>
        <w:spacing w:after="0" w:line="255"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Termination Date, Employee held both vested unexercised stock options to acquire Sonder Holdings Inc. shares (“Vested Options”) and also unvested unexercised stock options to acquire Sonder Holdings Inc. shares (“Unvested Options”) and except as modified by this Agreement such stock options continue to be governed by the terms and conditions contained in their applicable governing agreements (“Option Agreements”);</w:t>
      </w:r>
    </w:p>
    <w:p>
      <w:pPr>
        <w:spacing w:after="0" w:line="161" w:lineRule="exact"/>
        <w:rPr>
          <w:rFonts w:ascii="Times New Roman" w:cs="Times New Roman" w:eastAsia="Times New Roman" w:hAnsi="Times New Roman"/>
          <w:sz w:val="20"/>
          <w:szCs w:val="20"/>
          <w:color w:val="auto"/>
        </w:rPr>
      </w:pPr>
    </w:p>
    <w:p>
      <w:pPr>
        <w:jc w:val="both"/>
        <w:ind w:left="4" w:right="20" w:hanging="4"/>
        <w:spacing w:after="0" w:line="261"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now desire to memorialize their agreement to resolve all and any disputes between them arising out of or in connection with Employee’s employment with, and separation of employment from, the Company, and any and all other matters, and the Parties agree that this Agreement also fully satisfies all SHI and Company obligations owed to Employee under the Severance Plan; and</w:t>
      </w:r>
    </w:p>
    <w:p>
      <w:pPr>
        <w:spacing w:after="0" w:line="155" w:lineRule="exact"/>
        <w:rPr>
          <w:rFonts w:ascii="Times New Roman" w:cs="Times New Roman" w:eastAsia="Times New Roman" w:hAnsi="Times New Roman"/>
          <w:sz w:val="20"/>
          <w:szCs w:val="20"/>
          <w:color w:val="auto"/>
        </w:rPr>
      </w:pPr>
    </w:p>
    <w:p>
      <w:pPr>
        <w:ind w:left="4" w:right="20" w:hanging="4"/>
        <w:spacing w:after="0" w:line="268" w:lineRule="auto"/>
        <w:tabs>
          <w:tab w:leader="none" w:pos="59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are willingly and voluntarily entering into this Agreement and Employee has reviewed and understands the terms of this Agreement.</w:t>
      </w:r>
    </w:p>
    <w:p>
      <w:pPr>
        <w:spacing w:after="0" w:line="148"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CONSIDERATION of the promises and mutual covenants contained in this Agreement, the Parties agree as follows:</w:t>
      </w:r>
    </w:p>
    <w:p>
      <w:pPr>
        <w:spacing w:after="0" w:line="200" w:lineRule="exact"/>
        <w:rPr>
          <w:sz w:val="20"/>
          <w:szCs w:val="20"/>
          <w:color w:val="auto"/>
        </w:rPr>
      </w:pPr>
    </w:p>
    <w:p>
      <w:pPr>
        <w:spacing w:after="0" w:line="35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4"/>
          </w:cols>
          <w:pgMar w:left="316" w:top="1412" w:right="319" w:bottom="1440" w:gutter="0" w:footer="0" w:header="0"/>
        </w:sectPr>
      </w:pPr>
    </w:p>
    <w:bookmarkStart w:id="219" w:name="page220"/>
    <w:bookmarkEnd w:id="219"/>
    <w:p>
      <w:pPr>
        <w:ind w:left="184" w:hanging="184"/>
        <w:spacing w:after="0"/>
        <w:tabs>
          <w:tab w:leader="none" w:pos="184" w:val="left"/>
        </w:tabs>
        <w:numPr>
          <w:ilvl w:val="0"/>
          <w:numId w:val="87"/>
        </w:numPr>
        <w:rPr>
          <w:rFonts w:ascii="Times New Roman" w:cs="Times New Roman" w:eastAsia="Times New Roman" w:hAnsi="Times New Roman"/>
          <w:sz w:val="20"/>
          <w:szCs w:val="20"/>
          <w:color w:val="222222"/>
        </w:rPr>
      </w:pPr>
      <w:r>
        <w:rPr>
          <w:rFonts w:ascii="Times New Roman" w:cs="Times New Roman" w:eastAsia="Times New Roman" w:hAnsi="Times New Roman"/>
          <w:sz w:val="20"/>
          <w:szCs w:val="20"/>
          <w:u w:val="single" w:color="auto"/>
          <w:color w:val="222222"/>
        </w:rPr>
        <w:t>Effective Date.</w:t>
      </w:r>
    </w:p>
    <w:p>
      <w:pPr>
        <w:spacing w:after="0" w:line="25" w:lineRule="exact"/>
        <w:rPr>
          <w:sz w:val="20"/>
          <w:szCs w:val="20"/>
          <w:color w:val="auto"/>
        </w:rPr>
      </w:pPr>
    </w:p>
    <w:p>
      <w:pPr>
        <w:jc w:val="both"/>
        <w:ind w:left="4" w:hanging="1"/>
        <w:spacing w:after="0" w:line="237" w:lineRule="auto"/>
        <w:rPr>
          <w:sz w:val="20"/>
          <w:szCs w:val="20"/>
          <w:color w:val="auto"/>
        </w:rPr>
      </w:pPr>
      <w:r>
        <w:rPr>
          <w:rFonts w:ascii="Times New Roman" w:cs="Times New Roman" w:eastAsia="Times New Roman" w:hAnsi="Times New Roman"/>
          <w:sz w:val="20"/>
          <w:szCs w:val="20"/>
          <w:color w:val="222222"/>
        </w:rPr>
        <w:t>This Agreement shall be effective on the eighth (8</w:t>
      </w:r>
      <w:r>
        <w:rPr>
          <w:rFonts w:ascii="Times New Roman" w:cs="Times New Roman" w:eastAsia="Times New Roman" w:hAnsi="Times New Roman"/>
          <w:sz w:val="25"/>
          <w:szCs w:val="25"/>
          <w:color w:val="222222"/>
          <w:vertAlign w:val="superscript"/>
        </w:rPr>
        <w:t>th</w:t>
      </w:r>
      <w:r>
        <w:rPr>
          <w:rFonts w:ascii="Times New Roman" w:cs="Times New Roman" w:eastAsia="Times New Roman" w:hAnsi="Times New Roman"/>
          <w:sz w:val="20"/>
          <w:szCs w:val="20"/>
          <w:color w:val="222222"/>
        </w:rPr>
        <w:t>) calendar day after Employee’s execution of this Agreement (the “</w:t>
      </w:r>
      <w:r>
        <w:rPr>
          <w:rFonts w:ascii="Times New Roman" w:cs="Times New Roman" w:eastAsia="Times New Roman" w:hAnsi="Times New Roman"/>
          <w:sz w:val="20"/>
          <w:szCs w:val="20"/>
          <w:color w:val="000000"/>
        </w:rPr>
        <w:t>Effective Date”),</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provided Employee does not revoke acceptance pursuant to Paragraph 15.7. Through the earlier of August 31, 2025 or upon earlier written notice provided to Employee by the Company, Employee agrees to serve as an unpaid advisor to the Company (and Company affiliates) to primarily support the partnership integration and perform other services requested by the Company (collectively the “Advisor Services”). Notwithstanding that Employee shall be providing Advisor Services, the Termination Date shall constitute Employee’s Separation from Service as defined in the Severance Plan.</w:t>
      </w:r>
    </w:p>
    <w:p>
      <w:pPr>
        <w:spacing w:after="0" w:line="175" w:lineRule="exact"/>
        <w:rPr>
          <w:sz w:val="20"/>
          <w:szCs w:val="20"/>
          <w:color w:val="auto"/>
        </w:rPr>
      </w:pPr>
    </w:p>
    <w:p>
      <w:pPr>
        <w:ind w:left="584" w:hanging="584"/>
        <w:spacing w:after="0"/>
        <w:tabs>
          <w:tab w:leader="none" w:pos="5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and Benefits.</w:t>
      </w:r>
    </w:p>
    <w:p>
      <w:pPr>
        <w:spacing w:after="0" w:line="25" w:lineRule="exact"/>
        <w:rPr>
          <w:sz w:val="20"/>
          <w:szCs w:val="20"/>
          <w:color w:val="auto"/>
        </w:rPr>
      </w:pPr>
    </w:p>
    <w:p>
      <w:pPr>
        <w:jc w:val="both"/>
        <w:ind w:left="4" w:hanging="1"/>
        <w:spacing w:after="0" w:line="247" w:lineRule="auto"/>
        <w:rPr>
          <w:sz w:val="20"/>
          <w:szCs w:val="20"/>
          <w:color w:val="auto"/>
        </w:rPr>
      </w:pPr>
      <w:r>
        <w:rPr>
          <w:rFonts w:ascii="Times New Roman" w:cs="Times New Roman" w:eastAsia="Times New Roman" w:hAnsi="Times New Roman"/>
          <w:sz w:val="20"/>
          <w:szCs w:val="20"/>
          <w:color w:val="auto"/>
        </w:rPr>
        <w:t>In consideration of the promises made by Employee in this Agreement, including in particular the release which forms a material part of this Agreement, the Company agrees that after the Effective Date, the Company shall pay to Employee the following gross amounts before all applicable withholdings and deductions, including any garnishments or other legally required deductions (collectively the “Payments”). These Payments satisfy the payment obligations owed to Employee under Sections 1 and 2 of Employee’s January 12, 2022 Participation Agreement under the Severance Plan. The aggregate total of the Payments is equivalent to 52 weeks of compensation at Employee’s regular rate of pay and the total COBRA premiums for one year. The Payments are not intended to constitute nonqualified deferred compensation and therefore are intended to be exempt from the application of Internal Revenue Code Section 409A.</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59"/>
        </w:trPr>
        <w:tc>
          <w:tcPr>
            <w:tcW w:w="2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Cash Compensation Severance</w:t>
            </w:r>
          </w:p>
        </w:tc>
        <w:tc>
          <w:tcPr>
            <w:tcW w:w="1380" w:type="dxa"/>
            <w:vAlign w:val="bottom"/>
          </w:tcPr>
          <w:p>
            <w:pPr>
              <w:spacing w:after="0"/>
              <w:rPr>
                <w:sz w:val="22"/>
                <w:szCs w:val="22"/>
                <w:color w:val="auto"/>
              </w:rPr>
            </w:pPr>
          </w:p>
        </w:tc>
      </w:tr>
      <w:tr>
        <w:trPr>
          <w:trHeight w:val="383"/>
        </w:trPr>
        <w:tc>
          <w:tcPr>
            <w:tcW w:w="200" w:type="dxa"/>
            <w:vAlign w:val="bottom"/>
          </w:tcPr>
          <w:p>
            <w:pPr>
              <w:spacing w:after="0"/>
              <w:rPr>
                <w:sz w:val="24"/>
                <w:szCs w:val="24"/>
                <w:color w:val="auto"/>
              </w:rPr>
            </w:pPr>
          </w:p>
        </w:tc>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On or Before Payment Date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Gross Amount</w:t>
            </w:r>
          </w:p>
        </w:tc>
      </w:tr>
      <w:tr>
        <w:trPr>
          <w:trHeight w:val="432"/>
        </w:trPr>
        <w:tc>
          <w:tcPr>
            <w:tcW w:w="20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September 13, 2024</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$ 19,015.40</w:t>
            </w:r>
          </w:p>
        </w:tc>
      </w:tr>
      <w:tr>
        <w:trPr>
          <w:trHeight w:val="245"/>
        </w:trPr>
        <w:tc>
          <w:tcPr>
            <w:tcW w:w="200" w:type="dxa"/>
            <w:vAlign w:val="bottom"/>
          </w:tcPr>
          <w:p>
            <w:pPr>
              <w:spacing w:after="0"/>
              <w:rPr>
                <w:sz w:val="21"/>
                <w:szCs w:val="2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September 27, 2024</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$ 19,015.40</w:t>
            </w:r>
          </w:p>
        </w:tc>
      </w:tr>
      <w:tr>
        <w:trPr>
          <w:trHeight w:val="233"/>
        </w:trPr>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October 11, 2024</w:t>
            </w:r>
          </w:p>
        </w:tc>
        <w:tc>
          <w:tcPr>
            <w:tcW w:w="2160" w:type="dxa"/>
            <w:vAlign w:val="bottom"/>
            <w:gridSpan w:val="2"/>
          </w:tcPr>
          <w:p>
            <w:pPr>
              <w:jc w:val="right"/>
              <w:ind w:right="962"/>
              <w:spacing w:after="0"/>
              <w:rPr>
                <w:sz w:val="20"/>
                <w:szCs w:val="20"/>
                <w:color w:val="auto"/>
              </w:rPr>
            </w:pPr>
            <w:r>
              <w:rPr>
                <w:rFonts w:ascii="Times New Roman" w:cs="Times New Roman" w:eastAsia="Times New Roman" w:hAnsi="Times New Roman"/>
                <w:sz w:val="20"/>
                <w:szCs w:val="20"/>
                <w:color w:val="auto"/>
              </w:rPr>
              <w:t>$ 19,015.40</w:t>
            </w:r>
          </w:p>
        </w:tc>
      </w:tr>
      <w:tr>
        <w:trPr>
          <w:trHeight w:val="233"/>
        </w:trPr>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October 25, 2024</w:t>
            </w:r>
          </w:p>
        </w:tc>
        <w:tc>
          <w:tcPr>
            <w:tcW w:w="2160" w:type="dxa"/>
            <w:vAlign w:val="bottom"/>
            <w:gridSpan w:val="2"/>
          </w:tcPr>
          <w:p>
            <w:pPr>
              <w:jc w:val="right"/>
              <w:ind w:right="942"/>
              <w:spacing w:after="0"/>
              <w:rPr>
                <w:sz w:val="20"/>
                <w:szCs w:val="20"/>
                <w:color w:val="auto"/>
              </w:rPr>
            </w:pPr>
            <w:r>
              <w:rPr>
                <w:rFonts w:ascii="Times New Roman" w:cs="Times New Roman" w:eastAsia="Times New Roman" w:hAnsi="Times New Roman"/>
                <w:sz w:val="20"/>
                <w:szCs w:val="20"/>
                <w:color w:val="auto"/>
              </w:rPr>
              <w:t>$ 19,015.40</w:t>
            </w:r>
          </w:p>
        </w:tc>
      </w:tr>
      <w:tr>
        <w:trPr>
          <w:trHeight w:val="233"/>
        </w:trPr>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November 8, 2024</w:t>
            </w:r>
          </w:p>
        </w:tc>
        <w:tc>
          <w:tcPr>
            <w:tcW w:w="2160" w:type="dxa"/>
            <w:vAlign w:val="bottom"/>
            <w:gridSpan w:val="2"/>
          </w:tcPr>
          <w:p>
            <w:pPr>
              <w:jc w:val="right"/>
              <w:ind w:right="842"/>
              <w:spacing w:after="0"/>
              <w:rPr>
                <w:sz w:val="20"/>
                <w:szCs w:val="20"/>
                <w:color w:val="auto"/>
              </w:rPr>
            </w:pPr>
            <w:r>
              <w:rPr>
                <w:rFonts w:ascii="Times New Roman" w:cs="Times New Roman" w:eastAsia="Times New Roman" w:hAnsi="Times New Roman"/>
                <w:sz w:val="20"/>
                <w:szCs w:val="20"/>
                <w:color w:val="auto"/>
              </w:rPr>
              <w:t>$ 19,015.40</w:t>
            </w:r>
          </w:p>
        </w:tc>
      </w:tr>
      <w:tr>
        <w:trPr>
          <w:trHeight w:val="255"/>
        </w:trPr>
        <w:tc>
          <w:tcPr>
            <w:tcW w:w="200" w:type="dxa"/>
            <w:vAlign w:val="bottom"/>
          </w:tcPr>
          <w:p>
            <w:pPr>
              <w:spacing w:after="0"/>
              <w:rPr>
                <w:sz w:val="22"/>
                <w:szCs w:val="22"/>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November 22, 2024</w:t>
            </w:r>
          </w:p>
        </w:tc>
        <w:tc>
          <w:tcPr>
            <w:tcW w:w="21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$399,323.00</w:t>
            </w:r>
          </w:p>
        </w:tc>
      </w:tr>
      <w:tr>
        <w:trPr>
          <w:trHeight w:val="429"/>
        </w:trPr>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COBRA Severance</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65"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On or Before Payment Date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Gross Amount</w:t>
            </w:r>
          </w:p>
        </w:tc>
      </w:tr>
      <w:tr>
        <w:trPr>
          <w:trHeight w:val="432"/>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September 13, 2024</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$ 2,264.66</w:t>
            </w:r>
          </w:p>
        </w:tc>
      </w:tr>
      <w:tr>
        <w:trPr>
          <w:trHeight w:val="233"/>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October 11, 2024</w:t>
            </w:r>
          </w:p>
        </w:tc>
        <w:tc>
          <w:tcPr>
            <w:tcW w:w="2160" w:type="dxa"/>
            <w:vAlign w:val="bottom"/>
            <w:gridSpan w:val="2"/>
          </w:tcPr>
          <w:p>
            <w:pPr>
              <w:jc w:val="right"/>
              <w:ind w:right="1042"/>
              <w:spacing w:after="0"/>
              <w:rPr>
                <w:sz w:val="20"/>
                <w:szCs w:val="20"/>
                <w:color w:val="auto"/>
              </w:rPr>
            </w:pPr>
            <w:r>
              <w:rPr>
                <w:rFonts w:ascii="Times New Roman" w:cs="Times New Roman" w:eastAsia="Times New Roman" w:hAnsi="Times New Roman"/>
                <w:sz w:val="20"/>
                <w:szCs w:val="20"/>
                <w:color w:val="auto"/>
              </w:rPr>
              <w:t>$ 2,264.66</w:t>
            </w:r>
          </w:p>
        </w:tc>
      </w:tr>
      <w:tr>
        <w:trPr>
          <w:trHeight w:val="233"/>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November 8, 2024</w:t>
            </w:r>
          </w:p>
        </w:tc>
        <w:tc>
          <w:tcPr>
            <w:tcW w:w="2160" w:type="dxa"/>
            <w:vAlign w:val="bottom"/>
            <w:gridSpan w:val="2"/>
          </w:tcPr>
          <w:p>
            <w:pPr>
              <w:jc w:val="right"/>
              <w:ind w:right="942"/>
              <w:spacing w:after="0"/>
              <w:rPr>
                <w:sz w:val="20"/>
                <w:szCs w:val="20"/>
                <w:color w:val="auto"/>
              </w:rPr>
            </w:pPr>
            <w:r>
              <w:rPr>
                <w:rFonts w:ascii="Times New Roman" w:cs="Times New Roman" w:eastAsia="Times New Roman" w:hAnsi="Times New Roman"/>
                <w:sz w:val="20"/>
                <w:szCs w:val="20"/>
                <w:color w:val="auto"/>
              </w:rPr>
              <w:t>$ 2,264.66</w:t>
            </w: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November 22, 2024</w:t>
            </w:r>
          </w:p>
        </w:tc>
        <w:tc>
          <w:tcPr>
            <w:tcW w:w="21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$20,382.00</w:t>
            </w:r>
          </w:p>
        </w:tc>
      </w:tr>
    </w:tbl>
    <w:p>
      <w:pPr>
        <w:spacing w:after="0" w:line="186" w:lineRule="exact"/>
        <w:rPr>
          <w:sz w:val="20"/>
          <w:szCs w:val="20"/>
          <w:color w:val="auto"/>
        </w:rPr>
      </w:pPr>
    </w:p>
    <w:p>
      <w:pPr>
        <w:jc w:val="both"/>
        <w:ind w:left="4" w:hanging="1"/>
        <w:spacing w:after="0" w:line="255" w:lineRule="auto"/>
        <w:rPr>
          <w:sz w:val="20"/>
          <w:szCs w:val="20"/>
          <w:color w:val="auto"/>
        </w:rPr>
      </w:pPr>
      <w:r>
        <w:rPr>
          <w:rFonts w:ascii="Times New Roman" w:cs="Times New Roman" w:eastAsia="Times New Roman" w:hAnsi="Times New Roman"/>
          <w:sz w:val="20"/>
          <w:szCs w:val="20"/>
          <w:color w:val="auto"/>
        </w:rPr>
        <w:t>In addition, on each of the above four payment dates for the COBRA severance, Employee shall also receive an additional income tax restoration cash payment (“Additional Payment”) in an amount such that after receipt of the Additional Payment, Employee shall be in the same after-tax position as if no income taxes had been imposed on the applicable COBRA severance</w:t>
      </w: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4"/>
          </w:cols>
          <w:pgMar w:left="316" w:top="1314" w:right="339" w:bottom="1440" w:gutter="0" w:footer="0" w:header="0"/>
        </w:sectPr>
      </w:pPr>
    </w:p>
    <w:bookmarkStart w:id="220" w:name="page221"/>
    <w:bookmarkEnd w:id="220"/>
    <w:p>
      <w:pPr>
        <w:jc w:val="both"/>
        <w:ind w:left="4"/>
        <w:spacing w:after="0" w:line="268" w:lineRule="auto"/>
        <w:rPr>
          <w:sz w:val="20"/>
          <w:szCs w:val="20"/>
          <w:color w:val="auto"/>
        </w:rPr>
      </w:pPr>
      <w:r>
        <w:rPr>
          <w:rFonts w:ascii="Times New Roman" w:cs="Times New Roman" w:eastAsia="Times New Roman" w:hAnsi="Times New Roman"/>
          <w:sz w:val="20"/>
          <w:szCs w:val="20"/>
          <w:color w:val="auto"/>
        </w:rPr>
        <w:t>installment payment. The Additional Payments shall be calculated by using Employee’s applicable aggregate marginal income tax rate for 2024 (as determined by the Company).</w:t>
      </w:r>
    </w:p>
    <w:p>
      <w:pPr>
        <w:spacing w:after="0" w:line="148" w:lineRule="exact"/>
        <w:rPr>
          <w:sz w:val="20"/>
          <w:szCs w:val="20"/>
          <w:color w:val="auto"/>
        </w:rPr>
      </w:pPr>
    </w:p>
    <w:p>
      <w:pPr>
        <w:jc w:val="both"/>
        <w:ind w:left="4" w:hanging="1"/>
        <w:spacing w:after="0" w:line="281" w:lineRule="auto"/>
        <w:rPr>
          <w:sz w:val="20"/>
          <w:szCs w:val="20"/>
          <w:color w:val="auto"/>
        </w:rPr>
      </w:pPr>
      <w:r>
        <w:rPr>
          <w:rFonts w:ascii="Times New Roman" w:cs="Times New Roman" w:eastAsia="Times New Roman" w:hAnsi="Times New Roman"/>
          <w:sz w:val="20"/>
          <w:szCs w:val="20"/>
          <w:color w:val="auto"/>
        </w:rPr>
        <w:t>Notwithstanding the foregoing, if the Effective Date has not occurred at least three business days before an above scheduled payment date, then any such affected payments shall instead be made on the next scheduled payment date shown above.</w:t>
      </w:r>
    </w:p>
    <w:p>
      <w:pPr>
        <w:spacing w:after="0" w:line="135" w:lineRule="exact"/>
        <w:rPr>
          <w:sz w:val="20"/>
          <w:szCs w:val="20"/>
          <w:color w:val="auto"/>
        </w:rPr>
      </w:pPr>
    </w:p>
    <w:p>
      <w:pPr>
        <w:jc w:val="both"/>
        <w:ind w:left="4" w:hanging="1"/>
        <w:spacing w:after="0" w:line="251" w:lineRule="auto"/>
        <w:rPr>
          <w:sz w:val="20"/>
          <w:szCs w:val="20"/>
          <w:color w:val="auto"/>
        </w:rPr>
      </w:pPr>
      <w:r>
        <w:rPr>
          <w:rFonts w:ascii="Times New Roman" w:cs="Times New Roman" w:eastAsia="Times New Roman" w:hAnsi="Times New Roman"/>
          <w:sz w:val="20"/>
          <w:szCs w:val="20"/>
          <w:color w:val="auto"/>
        </w:rPr>
        <w:t>During the period that Employee continuously renders Advisor Services, (i) Employee’s Unvested Options shall continue to vest in accordance with their Option Agreement terms and therefore may become Vested Options and (ii) Employee shall have the opportunity to participate in a SHI stock option repricing program (if any) that is offered to active Company employees and in such case no additional service vesting conditions shall be imposed on any stock options that are repriced.</w:t>
      </w:r>
    </w:p>
    <w:p>
      <w:pPr>
        <w:spacing w:after="0" w:line="177" w:lineRule="exact"/>
        <w:rPr>
          <w:sz w:val="20"/>
          <w:szCs w:val="20"/>
          <w:color w:val="auto"/>
        </w:rPr>
      </w:pPr>
    </w:p>
    <w:p>
      <w:pPr>
        <w:jc w:val="both"/>
        <w:ind w:left="4" w:hanging="1"/>
        <w:spacing w:after="0" w:line="262" w:lineRule="auto"/>
        <w:rPr>
          <w:sz w:val="20"/>
          <w:szCs w:val="20"/>
          <w:color w:val="auto"/>
        </w:rPr>
      </w:pPr>
      <w:r>
        <w:rPr>
          <w:rFonts w:ascii="Times New Roman" w:cs="Times New Roman" w:eastAsia="Times New Roman" w:hAnsi="Times New Roman"/>
          <w:sz w:val="19"/>
          <w:szCs w:val="19"/>
          <w:color w:val="auto"/>
        </w:rPr>
        <w:t>In addition, provided Employee faithfully renders the requisite Advisor Services and timely signs and delivers the Second General Release Agreement attached hereto as Exhibit A (and does not revoke it) and otherwise remains in full compliance with this Agreement and the Second General Release then on the Second Release Effective Date (as defined in Exhibit A), each Vested Option (including Unvested Options that became Vested Options after the Termination Date) shall be then amended to remain exercisable until the earliest of the fourth anniversary of the Termination Date, the applicable expiration date of the Vested Option, or the termination of the Vested Option in accordance with the other terms and conditions of the Vested Option (such extension of the stock options is the “Second General Release Consideration”). For avoidance of doubt, all of Employee’s stock options which are not or cannot become (or do not become) Vested Options shall be forfeited without consideration. If the Second General Release does not become final and effective for any reason, then the Company may recoup all payments made pursuant to this Agreement, less $1000 which the Parties agree is adequate consideration for the Paragraph 3 General Release.</w:t>
      </w:r>
    </w:p>
    <w:p>
      <w:pPr>
        <w:spacing w:after="0" w:line="155" w:lineRule="exact"/>
        <w:rPr>
          <w:sz w:val="20"/>
          <w:szCs w:val="20"/>
          <w:color w:val="auto"/>
        </w:rPr>
      </w:pPr>
    </w:p>
    <w:p>
      <w:pPr>
        <w:jc w:val="both"/>
        <w:ind w:left="4" w:hanging="1"/>
        <w:spacing w:after="0" w:line="250" w:lineRule="auto"/>
        <w:rPr>
          <w:sz w:val="20"/>
          <w:szCs w:val="20"/>
          <w:color w:val="auto"/>
        </w:rPr>
      </w:pPr>
      <w:r>
        <w:rPr>
          <w:rFonts w:ascii="Times New Roman" w:cs="Times New Roman" w:eastAsia="Times New Roman" w:hAnsi="Times New Roman"/>
          <w:sz w:val="20"/>
          <w:szCs w:val="20"/>
          <w:color w:val="auto"/>
        </w:rPr>
        <w:t>1.1.</w:t>
      </w:r>
      <w:r>
        <w:rPr>
          <w:sz w:val="20"/>
          <w:szCs w:val="20"/>
          <w:color w:val="auto"/>
        </w:rPr>
        <w:t xml:space="preserve"> </w:t>
      </w:r>
      <w:r>
        <w:rPr>
          <w:rFonts w:ascii="Times New Roman" w:cs="Times New Roman" w:eastAsia="Times New Roman" w:hAnsi="Times New Roman"/>
          <w:sz w:val="20"/>
          <w:szCs w:val="20"/>
          <w:color w:val="auto"/>
        </w:rPr>
        <w:t>Employee acknowledges and agrees that the Company has not made any representations or warranties regarding the tax consequences of any amounts paid pursuant to this Agreement. Employee is solely responsible for all tax reporting obligations and agrees to pay all local, state and federal income taxes, penalties, interest, fines or other assessment incurred or owed by Employee, if any, in connection with the Payments, Severance Plan or this Agreement. Employee agrees to indemnify and hold harmless the Company against any liabilities, assessment of taxes, penalties, interests, fines, costs and expenses, including attorneys’ fees, arising out of the Payments, the Severance Plan or this Agreement.</w:t>
      </w:r>
    </w:p>
    <w:p>
      <w:pPr>
        <w:spacing w:after="0" w:line="167" w:lineRule="exact"/>
        <w:rPr>
          <w:sz w:val="20"/>
          <w:szCs w:val="20"/>
          <w:color w:val="auto"/>
        </w:rPr>
      </w:pPr>
    </w:p>
    <w:p>
      <w:pPr>
        <w:ind w:left="584" w:hanging="584"/>
        <w:spacing w:after="0"/>
        <w:tabs>
          <w:tab w:leader="none" w:pos="5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p>
    <w:p>
      <w:pPr>
        <w:spacing w:after="0" w:line="25" w:lineRule="exact"/>
        <w:rPr>
          <w:sz w:val="20"/>
          <w:szCs w:val="20"/>
          <w:color w:val="auto"/>
        </w:rPr>
      </w:pPr>
    </w:p>
    <w:p>
      <w:pPr>
        <w:jc w:val="both"/>
        <w:ind w:left="4" w:hanging="1"/>
        <w:spacing w:after="0" w:line="250" w:lineRule="auto"/>
        <w:rPr>
          <w:sz w:val="20"/>
          <w:szCs w:val="20"/>
          <w:color w:val="auto"/>
        </w:rPr>
      </w:pPr>
      <w:r>
        <w:rPr>
          <w:rFonts w:ascii="Times New Roman" w:cs="Times New Roman" w:eastAsia="Times New Roman" w:hAnsi="Times New Roman"/>
          <w:sz w:val="20"/>
          <w:szCs w:val="20"/>
          <w:color w:val="auto"/>
        </w:rPr>
        <w:t>It is understood and agreed that this Agreement shall not be construed as an admission by either party of any liability or the violation of any law, statute, ordinance, contract, regulation or legal or moral duty whatsoever. The Company specifically disclaims any liability to Employee for any violation of any law, statute, ordinance, contract or duty.</w:t>
      </w:r>
    </w:p>
    <w:p>
      <w:pPr>
        <w:spacing w:after="0" w:line="200" w:lineRule="exact"/>
        <w:rPr>
          <w:sz w:val="20"/>
          <w:szCs w:val="20"/>
          <w:color w:val="auto"/>
        </w:rPr>
      </w:pPr>
    </w:p>
    <w:p>
      <w:pPr>
        <w:spacing w:after="0" w:line="3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4"/>
          </w:cols>
          <w:pgMar w:left="316" w:top="1302" w:right="339" w:bottom="1440" w:gutter="0" w:footer="0" w:header="0"/>
        </w:sectPr>
      </w:pPr>
    </w:p>
    <w:bookmarkStart w:id="221" w:name="page222"/>
    <w:bookmarkEnd w:id="221"/>
    <w:p>
      <w:pPr>
        <w:ind w:left="584" w:hanging="584"/>
        <w:spacing w:after="0"/>
        <w:tabs>
          <w:tab w:leader="none" w:pos="5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w:t>
      </w:r>
    </w:p>
    <w:p>
      <w:pPr>
        <w:spacing w:after="0" w:line="25" w:lineRule="exact"/>
        <w:rPr>
          <w:sz w:val="20"/>
          <w:szCs w:val="20"/>
          <w:color w:val="auto"/>
        </w:rPr>
      </w:pPr>
    </w:p>
    <w:p>
      <w:pPr>
        <w:jc w:val="both"/>
        <w:ind w:left="4" w:hanging="1"/>
        <w:spacing w:after="0" w:line="246" w:lineRule="auto"/>
        <w:rPr>
          <w:sz w:val="20"/>
          <w:szCs w:val="20"/>
          <w:color w:val="auto"/>
        </w:rPr>
      </w:pPr>
      <w:r>
        <w:rPr>
          <w:rFonts w:ascii="Times New Roman" w:cs="Times New Roman" w:eastAsia="Times New Roman" w:hAnsi="Times New Roman"/>
          <w:sz w:val="20"/>
          <w:szCs w:val="20"/>
          <w:color w:val="auto"/>
        </w:rPr>
        <w:t>3.1.</w:t>
      </w:r>
      <w:r>
        <w:rPr>
          <w:sz w:val="20"/>
          <w:szCs w:val="20"/>
          <w:color w:val="auto"/>
        </w:rPr>
        <w:t xml:space="preserve"> </w:t>
      </w:r>
      <w:r>
        <w:rPr>
          <w:rFonts w:ascii="Times New Roman" w:cs="Times New Roman" w:eastAsia="Times New Roman" w:hAnsi="Times New Roman"/>
          <w:sz w:val="20"/>
          <w:szCs w:val="20"/>
          <w:color w:val="auto"/>
        </w:rPr>
        <w:t>In consideration for the Payments and other Paragraph 1 benefits, Employee knowingly and voluntarily releases and forever discharges the Company and/or its parent, subsidiary, affiliated, predecessor, or successor companies, its/their past or present owners, stockholders, directors, officers, employees, contractors, agents, attorneys, insurers, assigns, and representatives (the “Released Parties”) from all actions, suits, claims, demands, damages, monies, injunctive relief, attorney’s fees, liabilities, debts, grievances, arbitrations, charges, interest, expenses and costs, contracts, equity, stock (including “phantom stock”), stock options, ownership interest, profit share, management fees, promises, judgments, awards, orders, executions or demands of any nature whatsoever, and/or causes of action of whatever kind or character whether known or unknown, suspected or unsuspected, which Employee ever had, now has, or which Employee’s heirs, assigns, executors or administrators hereafter can, shall or may have, arising out of or relating in any way to any acts, circumstances, facts, transactions, omissions, or other subject matters, based on facts occurring prior to the time Employee executes this Agreement.</w:t>
      </w:r>
    </w:p>
    <w:p>
      <w:pPr>
        <w:spacing w:after="0" w:line="171" w:lineRule="exact"/>
        <w:rPr>
          <w:sz w:val="20"/>
          <w:szCs w:val="20"/>
          <w:color w:val="auto"/>
        </w:rPr>
      </w:pPr>
    </w:p>
    <w:p>
      <w:pPr>
        <w:jc w:val="both"/>
        <w:ind w:left="4" w:hanging="1"/>
        <w:spacing w:after="0" w:line="259" w:lineRule="auto"/>
        <w:rPr>
          <w:sz w:val="20"/>
          <w:szCs w:val="20"/>
          <w:color w:val="auto"/>
        </w:rPr>
      </w:pPr>
      <w:r>
        <w:rPr>
          <w:rFonts w:ascii="Times New Roman" w:cs="Times New Roman" w:eastAsia="Times New Roman" w:hAnsi="Times New Roman"/>
          <w:sz w:val="20"/>
          <w:szCs w:val="20"/>
          <w:color w:val="auto"/>
        </w:rPr>
        <w:t>3.2.</w:t>
      </w:r>
      <w:r>
        <w:rPr>
          <w:sz w:val="20"/>
          <w:szCs w:val="20"/>
          <w:color w:val="auto"/>
        </w:rPr>
        <w:t xml:space="preserve"> </w:t>
      </w:r>
      <w:r>
        <w:rPr>
          <w:rFonts w:ascii="Times New Roman" w:cs="Times New Roman" w:eastAsia="Times New Roman" w:hAnsi="Times New Roman"/>
          <w:sz w:val="19"/>
          <w:szCs w:val="19"/>
          <w:color w:val="auto"/>
        </w:rPr>
        <w:t xml:space="preserve">Employee’s release of the Company and the Released Parties includes, but is not limited to: (i) any claims, actions, suits or charges arising out of Employee’s employment with the Company and/or the termination of Employee’s employment with the Company, including, but not limited to, any salary, wages, bonuses, equity, stock (including “phantom stock”), stock options, ownership interest, profit share, management fees, holiday pay, vacation, employee benefits, defamation, libel, personal injury, any other compensatory damage; (ii) any claim that the Company or any of the Released Parties discriminated, harassed or retaliated against Employee on the basis of race, color, gender, sex, sexual orientation, religion, national origin, disability, medical condition, ancestry, veteran status, marital status, age, and/or any other protected category; (iii) that the Company or any of the Released Parties violated any promise or agreement either express or implied with Employee; (iv) any and all claims arising under Title VII of the Civil Rights Act of 1964; the Americans with Disabilities Act; the Age Discrimination in Employment Act (ADEA); the Employee Retirement Income Security Act (excluding vested benefits); the National Labor Relations Act; claims under the California Labor, Civil, and Government Codes, including without limitation the California Fair Employment and Housing Act (the “FEHA”), the California Family Rights Act, and the California Wage Orders; and the Unfair Business Practices Act; all other federal, state or local labor or employment/human rights laws; and any other federal, state or local statute, rule, regulation or ordinance or the common law which might arise out of Employee’s association with, employment with, and/or termination from employment with the Company; (v) claims for wrongful termination in violation of public policy and/or the FEHA, any and all other common law claims and/or causes of action of whatever kind or character, in tort or contract, statutory or otherwise, for legal or equitable relief. All such claims, liabilities or causes of action (including, without limitation, claims for related attorneys’ fees and costs) are forever barred by this Agreement regardless of the forum in which they may be brought. The Parties intend for this release to be as broad as possible. </w:t>
      </w:r>
      <w:r>
        <w:rPr>
          <w:rFonts w:ascii="Times New Roman" w:cs="Times New Roman" w:eastAsia="Times New Roman" w:hAnsi="Times New Roman"/>
          <w:sz w:val="19"/>
          <w:szCs w:val="19"/>
          <w:b w:val="1"/>
          <w:bCs w:val="1"/>
          <w:color w:val="auto"/>
        </w:rPr>
        <w:t>Notwithstanding the foregoing,</w:t>
      </w:r>
    </w:p>
    <w:p>
      <w:pPr>
        <w:spacing w:after="0" w:line="5"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20"/>
          <w:szCs w:val="20"/>
          <w:b w:val="1"/>
          <w:bCs w:val="1"/>
          <w:color w:val="auto"/>
        </w:rPr>
        <w:t>Employee does not waive or release any claim which cannot be waived or released by private agreement. Specifically, nothing in this Agreement shall prevent Employee from filing a charge or complaint with, or from participating in, an investigation or proceeding conducted by the SEC, OSHA, EEOC, DFEH or any other</w:t>
      </w:r>
    </w:p>
    <w:p>
      <w:pPr>
        <w:spacing w:after="0" w:line="200" w:lineRule="exact"/>
        <w:rPr>
          <w:sz w:val="20"/>
          <w:szCs w:val="20"/>
          <w:color w:val="auto"/>
        </w:rPr>
      </w:pP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4"/>
          </w:cols>
          <w:pgMar w:left="316" w:top="1302" w:right="339" w:bottom="1440" w:gutter="0" w:footer="0" w:header="0"/>
        </w:sectPr>
      </w:pPr>
    </w:p>
    <w:bookmarkStart w:id="222" w:name="page223"/>
    <w:bookmarkEnd w:id="222"/>
    <w:p>
      <w:pPr>
        <w:jc w:val="both"/>
        <w:ind w:left="4"/>
        <w:spacing w:after="0" w:line="253" w:lineRule="auto"/>
        <w:rPr>
          <w:sz w:val="20"/>
          <w:szCs w:val="20"/>
          <w:color w:val="auto"/>
        </w:rPr>
      </w:pPr>
      <w:r>
        <w:rPr>
          <w:rFonts w:ascii="Times New Roman" w:cs="Times New Roman" w:eastAsia="Times New Roman" w:hAnsi="Times New Roman"/>
          <w:sz w:val="20"/>
          <w:szCs w:val="20"/>
          <w:b w:val="1"/>
          <w:bCs w:val="1"/>
          <w:color w:val="auto"/>
        </w:rPr>
        <w:t>federal, state or local agency charged with the enforcement of any employment laws. Employee, however, understands that by signing this Agreement, Employee waives the right to recover any damages or to receive other relief in any claim or suit brought by or through the EEOC, the DFEH or any other state or local deferral agency on Employee’s behalf to the fullest extent permitted by law, but expressly excluding any monetary award or other relief available from the SEC/OSHA, including an SEC/OSHA whistleblower award, or other awards or relief that may not lawfully be waived.</w:t>
      </w:r>
    </w:p>
    <w:p>
      <w:pPr>
        <w:spacing w:after="0" w:line="163" w:lineRule="exact"/>
        <w:rPr>
          <w:sz w:val="20"/>
          <w:szCs w:val="20"/>
          <w:color w:val="auto"/>
        </w:rPr>
      </w:pPr>
    </w:p>
    <w:p>
      <w:pPr>
        <w:jc w:val="both"/>
        <w:ind w:left="4" w:hanging="1"/>
        <w:spacing w:after="0" w:line="252" w:lineRule="auto"/>
        <w:rPr>
          <w:sz w:val="20"/>
          <w:szCs w:val="20"/>
          <w:color w:val="auto"/>
        </w:rPr>
      </w:pPr>
      <w:r>
        <w:rPr>
          <w:rFonts w:ascii="Times New Roman" w:cs="Times New Roman" w:eastAsia="Times New Roman" w:hAnsi="Times New Roman"/>
          <w:sz w:val="20"/>
          <w:szCs w:val="20"/>
          <w:color w:val="auto"/>
        </w:rPr>
        <w:t>3.3.</w:t>
      </w:r>
      <w:r>
        <w:rPr>
          <w:sz w:val="20"/>
          <w:szCs w:val="20"/>
          <w:color w:val="auto"/>
        </w:rPr>
        <w:t xml:space="preserve"> </w:t>
      </w:r>
      <w:r>
        <w:rPr>
          <w:rFonts w:ascii="Times New Roman" w:cs="Times New Roman" w:eastAsia="Times New Roman" w:hAnsi="Times New Roman"/>
          <w:sz w:val="20"/>
          <w:szCs w:val="20"/>
          <w:color w:val="auto"/>
        </w:rPr>
        <w:t>Employee warrants and agrees that Employee shall not and has not filed any claims, causes of action or complaints against the Company or any of the Released Parties that relate to any actions or conduct occurring prior to the execution of this Agreement, except for any such claims that cannot be waived in a private agreement. Employee agrees that if Employee does file such court action the Company shall be entitled to cease any further payments and that the payments already made under this Agreement, if any, shall constitute full and complete consideration for Employee’s release of claims.</w:t>
      </w:r>
    </w:p>
    <w:p>
      <w:pPr>
        <w:spacing w:after="0" w:line="164" w:lineRule="exact"/>
        <w:rPr>
          <w:sz w:val="20"/>
          <w:szCs w:val="20"/>
          <w:color w:val="auto"/>
        </w:rPr>
      </w:pPr>
    </w:p>
    <w:p>
      <w:pPr>
        <w:jc w:val="both"/>
        <w:ind w:left="4" w:hanging="1"/>
        <w:spacing w:after="0" w:line="251" w:lineRule="auto"/>
        <w:rPr>
          <w:sz w:val="20"/>
          <w:szCs w:val="20"/>
          <w:color w:val="auto"/>
        </w:rPr>
      </w:pPr>
      <w:r>
        <w:rPr>
          <w:rFonts w:ascii="Times New Roman" w:cs="Times New Roman" w:eastAsia="Times New Roman" w:hAnsi="Times New Roman"/>
          <w:sz w:val="20"/>
          <w:szCs w:val="20"/>
          <w:color w:val="auto"/>
        </w:rPr>
        <w:t>3.4.</w:t>
      </w:r>
      <w:r>
        <w:rPr>
          <w:sz w:val="20"/>
          <w:szCs w:val="20"/>
          <w:color w:val="auto"/>
        </w:rPr>
        <w:t xml:space="preserve"> </w:t>
      </w:r>
      <w:r>
        <w:rPr>
          <w:rFonts w:ascii="Times New Roman" w:cs="Times New Roman" w:eastAsia="Times New Roman" w:hAnsi="Times New Roman"/>
          <w:sz w:val="20"/>
          <w:szCs w:val="20"/>
          <w:u w:val="single" w:color="auto"/>
          <w:color w:val="auto"/>
        </w:rPr>
        <w:t xml:space="preserve">Unknown Claims. </w:t>
      </w:r>
      <w:r>
        <w:rPr>
          <w:rFonts w:ascii="Times New Roman" w:cs="Times New Roman" w:eastAsia="Times New Roman" w:hAnsi="Times New Roman"/>
          <w:sz w:val="20"/>
          <w:szCs w:val="20"/>
          <w:color w:val="auto"/>
        </w:rPr>
        <w:t>It is a condition of this Agreement, and it is the Parties’ intention by executing this Agreement, that the release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claims contained in this Agreement shall be effective as a bar to each and every claim, whether now known or unknown. As such, Employee expressly, knowingly and voluntarily waives any and all rights and benefits conferred by section 1542 of the California Civil Code and does so understanding and acknowledging the significance and consequence of such specific waiver of section 1542, which provides:</w:t>
      </w:r>
    </w:p>
    <w:p>
      <w:pPr>
        <w:spacing w:after="0" w:line="173" w:lineRule="exact"/>
        <w:rPr>
          <w:sz w:val="20"/>
          <w:szCs w:val="20"/>
          <w:color w:val="auto"/>
        </w:rPr>
      </w:pPr>
    </w:p>
    <w:p>
      <w:pPr>
        <w:jc w:val="both"/>
        <w:ind w:left="4" w:right="580" w:hanging="1"/>
        <w:spacing w:after="0" w:line="252"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5" w:lineRule="exact"/>
        <w:rPr>
          <w:sz w:val="20"/>
          <w:szCs w:val="20"/>
          <w:color w:val="auto"/>
        </w:rPr>
      </w:pPr>
    </w:p>
    <w:p>
      <w:pPr>
        <w:ind w:left="4" w:hanging="1"/>
        <w:spacing w:after="0" w:line="281" w:lineRule="auto"/>
        <w:rPr>
          <w:sz w:val="20"/>
          <w:szCs w:val="20"/>
          <w:color w:val="auto"/>
        </w:rPr>
      </w:pPr>
      <w:r>
        <w:rPr>
          <w:rFonts w:ascii="Times New Roman" w:cs="Times New Roman" w:eastAsia="Times New Roman" w:hAnsi="Times New Roman"/>
          <w:sz w:val="20"/>
          <w:szCs w:val="20"/>
          <w:color w:val="auto"/>
        </w:rPr>
        <w:t>3.5.</w:t>
      </w:r>
      <w:r>
        <w:rPr>
          <w:sz w:val="20"/>
          <w:szCs w:val="20"/>
          <w:color w:val="auto"/>
        </w:rPr>
        <w:t xml:space="preserve"> </w:t>
      </w:r>
      <w:r>
        <w:rPr>
          <w:rFonts w:ascii="Times New Roman" w:cs="Times New Roman" w:eastAsia="Times New Roman" w:hAnsi="Times New Roman"/>
          <w:sz w:val="20"/>
          <w:szCs w:val="20"/>
          <w:color w:val="auto"/>
        </w:rPr>
        <w:t>To the extent the release set forth in this Agreement expressly extends to persons or entities that are not signatories to this Agreement, it is expressly declared to be for their benefit and use.</w:t>
      </w:r>
    </w:p>
    <w:p>
      <w:pPr>
        <w:spacing w:after="0" w:line="135" w:lineRule="exact"/>
        <w:rPr>
          <w:sz w:val="20"/>
          <w:szCs w:val="20"/>
          <w:color w:val="auto"/>
        </w:rPr>
      </w:pPr>
    </w:p>
    <w:p>
      <w:pPr>
        <w:ind w:left="584" w:hanging="584"/>
        <w:spacing w:after="0"/>
        <w:tabs>
          <w:tab w:leader="none" w:pos="5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Consideration.</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Employee represents and acknowledges that the consideration referenced in this Agreement shall constitute the entire consideration provided to Employee and Employee will not seek any further compensation for any claim, damage, cost, or attorney’s fees in connection with the matters encompassed in this Agreement. Employee represents and acknowledges that the consideration contained in this Agreement constitutes a full satisfaction and accord of any claims Employee has or may have against the Company or any of the Released Parties. Employee acknowledges the Payments and other Paragraph 1 benefits constitute ample consideration, the sufficiency of which is hereby acknowledged, for Employee’s promises in this Agreement.</w:t>
      </w:r>
    </w:p>
    <w:p>
      <w:pPr>
        <w:spacing w:after="0" w:line="200" w:lineRule="exact"/>
        <w:rPr>
          <w:sz w:val="20"/>
          <w:szCs w:val="20"/>
          <w:color w:val="auto"/>
        </w:rPr>
      </w:pP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4"/>
          </w:cols>
          <w:pgMar w:left="316" w:top="1298" w:right="339" w:bottom="1440" w:gutter="0" w:footer="0" w:header="0"/>
        </w:sectPr>
      </w:pPr>
    </w:p>
    <w:bookmarkStart w:id="223" w:name="page224"/>
    <w:bookmarkEnd w:id="223"/>
    <w:p>
      <w:pPr>
        <w:ind w:left="584" w:hanging="584"/>
        <w:spacing w:after="0"/>
        <w:tabs>
          <w:tab w:leader="none" w:pos="5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This Agreement is expressly conditioned upon Employee’s covenant not to file any claim against the Company or its owners, officers, directors, employees, or any of the Released Parties. Employee agrees not to sue any of the Released Parties or become a party to a lawsuit, whether in an individual or representative capacity, on the basis of any claims of any type that arise out of any aspect of Employee’s employment or termination of employment with the Company or any other matter up through the date Employee executes this Agreement. Employee understands that this is an affirmative promise by Employee not to sue any of the Released Parties, which is in addition to Employee’s general release of claims. If Employee (whether individually or jointly) breaches this Agreement by suing any of the Released Parties in violation of this Covenant Not to Sue, Employee understands that (i) the Released Parties will be entitled to apply for and receive an injunction to restrain any violation of this Agreement; (ii) Employee will be required to pay the Released Parties’ legal costs and expenses, including reasonable attorney fees, associated with defending against any such lawsuit and enforcing the terms of this Agreement; and (iii) the Company shall be entitled to cease any further payments to Employee in which event Employee agrees that the payments already made under this Agreement, if any, shall constitute full and complete consideration for Employee’s release of claims; provided, however, that this section will not apply to any lawsuit necessary to enforce the terms of this Agreement.</w:t>
      </w:r>
    </w:p>
    <w:p>
      <w:pPr>
        <w:spacing w:after="0" w:line="173" w:lineRule="exact"/>
        <w:rPr>
          <w:sz w:val="20"/>
          <w:szCs w:val="20"/>
          <w:color w:val="auto"/>
        </w:rPr>
      </w:pPr>
    </w:p>
    <w:p>
      <w:pPr>
        <w:ind w:left="584" w:hanging="584"/>
        <w:spacing w:after="0"/>
        <w:tabs>
          <w:tab w:leader="none" w:pos="5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Representations.</w:t>
      </w:r>
    </w:p>
    <w:p>
      <w:pPr>
        <w:spacing w:after="0" w:line="25" w:lineRule="exact"/>
        <w:rPr>
          <w:sz w:val="20"/>
          <w:szCs w:val="20"/>
          <w:color w:val="auto"/>
        </w:rPr>
      </w:pPr>
    </w:p>
    <w:p>
      <w:pPr>
        <w:jc w:val="both"/>
        <w:ind w:left="4" w:hanging="1"/>
        <w:spacing w:after="0" w:line="260" w:lineRule="auto"/>
        <w:rPr>
          <w:sz w:val="20"/>
          <w:szCs w:val="20"/>
          <w:color w:val="auto"/>
        </w:rPr>
      </w:pPr>
      <w:r>
        <w:rPr>
          <w:rFonts w:ascii="Times New Roman" w:cs="Times New Roman" w:eastAsia="Times New Roman" w:hAnsi="Times New Roman"/>
          <w:sz w:val="19"/>
          <w:szCs w:val="19"/>
          <w:color w:val="auto"/>
        </w:rPr>
        <w:t>Employee warrants, represents and acknowledges that the Company is paying the Payments and providing the other Paragraph 1 benefits in reliance upon the following: a) Employee has returned all Company property to the Company, including all confidential information, files, data, employee information, PII, business plans, marketing information, emails, company social media posts and accounts, computer hardware or software, printer, copier, files, papers, memoranda, correspondence, customer, vendor, supplier lists, financial data, credit cards, keys, recordings, pictures, passwords and security access cards, and any other items of any nature which were or are the property of the Company (</w:t>
      </w:r>
      <w:r>
        <w:rPr>
          <w:rFonts w:ascii="Times New Roman" w:cs="Times New Roman" w:eastAsia="Times New Roman" w:hAnsi="Times New Roman"/>
          <w:sz w:val="19"/>
          <w:szCs w:val="19"/>
          <w:b w:val="1"/>
          <w:bCs w:val="1"/>
          <w:color w:val="auto"/>
        </w:rPr>
        <w:t>which expressly includes all documents and correspondence created or received by Employee as part of Employee’s employment with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the Company</w:t>
      </w:r>
      <w:r>
        <w:rPr>
          <w:rFonts w:ascii="Times New Roman" w:cs="Times New Roman" w:eastAsia="Times New Roman" w:hAnsi="Times New Roman"/>
          <w:sz w:val="19"/>
          <w:szCs w:val="19"/>
          <w:color w:val="auto"/>
        </w:rPr>
        <w:t>); b) Employee will not retain any copies (whether in electronic or hard copy form) of any such property in Employee’s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possession or under Employee’s control; c) Employee has no reason to believe that Employee has suffered any injuries or illnesses on the job which have not been reported in writing to the Company; d) Employee acknowledges that Employee has been properly provided any leave of absence because of Employee’s or Employee’s family member’s health condition; and (e) Employee agrees that the Company do not possess any property belonging to Employee. Employee shall be permitted to retain the Company work laptop that was provided to Employee following its inspection and removal of all Company information (contained on the laptop) by the Company’s IT team.</w:t>
      </w:r>
    </w:p>
    <w:p>
      <w:pPr>
        <w:spacing w:after="0" w:line="162" w:lineRule="exact"/>
        <w:rPr>
          <w:sz w:val="20"/>
          <w:szCs w:val="20"/>
          <w:color w:val="auto"/>
        </w:rPr>
      </w:pPr>
    </w:p>
    <w:p>
      <w:pPr>
        <w:ind w:left="584" w:hanging="584"/>
        <w:spacing w:after="0"/>
        <w:tabs>
          <w:tab w:leader="none" w:pos="5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and Cooperation.</w:t>
      </w:r>
    </w:p>
    <w:p>
      <w:pPr>
        <w:spacing w:after="0" w:line="25" w:lineRule="exact"/>
        <w:rPr>
          <w:sz w:val="20"/>
          <w:szCs w:val="20"/>
          <w:color w:val="auto"/>
        </w:rPr>
      </w:pPr>
    </w:p>
    <w:p>
      <w:pPr>
        <w:jc w:val="both"/>
        <w:ind w:left="4" w:hanging="1"/>
        <w:spacing w:after="0" w:line="244" w:lineRule="auto"/>
        <w:rPr>
          <w:sz w:val="20"/>
          <w:szCs w:val="20"/>
          <w:color w:val="auto"/>
        </w:rPr>
      </w:pPr>
      <w:r>
        <w:rPr>
          <w:rFonts w:ascii="Times New Roman" w:cs="Times New Roman" w:eastAsia="Times New Roman" w:hAnsi="Times New Roman"/>
          <w:sz w:val="20"/>
          <w:szCs w:val="20"/>
          <w:color w:val="auto"/>
        </w:rPr>
        <w:t>Employee agrees to cooperate with the Company and/or any of the Released Parties and its or their legal counsel in connection with any current or future investigation or litigation relating to any matter with which Employee was involved or of which Employee has knowledge. Without limitation, Employee also agrees to provide the following:</w:t>
      </w:r>
    </w:p>
    <w:p>
      <w:pPr>
        <w:spacing w:after="0" w:line="200" w:lineRule="exact"/>
        <w:rPr>
          <w:sz w:val="20"/>
          <w:szCs w:val="20"/>
          <w:color w:val="auto"/>
        </w:rPr>
      </w:pP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4"/>
          </w:cols>
          <w:pgMar w:left="316" w:top="1302" w:right="339" w:bottom="1440" w:gutter="0" w:footer="0" w:header="0"/>
        </w:sectPr>
      </w:pPr>
    </w:p>
    <w:bookmarkStart w:id="224" w:name="page225"/>
    <w:bookmarkEnd w:id="224"/>
    <w:p>
      <w:pPr>
        <w:ind w:left="1764" w:right="1180" w:hanging="293"/>
        <w:spacing w:after="0" w:line="253" w:lineRule="auto"/>
        <w:tabs>
          <w:tab w:leader="none" w:pos="1784"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Full cooperation and best efforts in the successful transition of all work including but not limited to the positive transfer of key relationships and agreements with internal and external parties;</w:t>
      </w:r>
    </w:p>
    <w:p>
      <w:pPr>
        <w:spacing w:after="0" w:line="1" w:lineRule="exact"/>
        <w:rPr>
          <w:rFonts w:ascii="Arial" w:cs="Arial" w:eastAsia="Arial" w:hAnsi="Arial"/>
          <w:sz w:val="20"/>
          <w:szCs w:val="20"/>
          <w:color w:val="auto"/>
        </w:rPr>
      </w:pPr>
    </w:p>
    <w:p>
      <w:pPr>
        <w:ind w:left="1764" w:right="1180" w:hanging="293"/>
        <w:spacing w:after="0" w:line="248" w:lineRule="auto"/>
        <w:tabs>
          <w:tab w:leader="none" w:pos="1784"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Full cooperation and best efforts in the successful transition of vendors, platforms, and landlords where Employee is a key contact;</w:t>
      </w:r>
    </w:p>
    <w:p>
      <w:pPr>
        <w:spacing w:after="0" w:line="1" w:lineRule="exact"/>
        <w:rPr>
          <w:rFonts w:ascii="Arial" w:cs="Arial" w:eastAsia="Arial" w:hAnsi="Arial"/>
          <w:sz w:val="20"/>
          <w:szCs w:val="20"/>
          <w:color w:val="auto"/>
        </w:rPr>
      </w:pPr>
    </w:p>
    <w:p>
      <w:pPr>
        <w:ind w:left="1764" w:hanging="293"/>
        <w:spacing w:after="0"/>
        <w:tabs>
          <w:tab w:leader="none" w:pos="1764"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Full cooperation and best efforts in the hiring of key staff and transition of work as required;</w:t>
      </w:r>
    </w:p>
    <w:p>
      <w:pPr>
        <w:spacing w:after="0" w:line="1" w:lineRule="exact"/>
        <w:rPr>
          <w:rFonts w:ascii="Arial" w:cs="Arial" w:eastAsia="Arial" w:hAnsi="Arial"/>
          <w:sz w:val="20"/>
          <w:szCs w:val="20"/>
          <w:color w:val="auto"/>
        </w:rPr>
      </w:pPr>
    </w:p>
    <w:p>
      <w:pPr>
        <w:ind w:left="1764" w:hanging="293"/>
        <w:spacing w:after="0"/>
        <w:tabs>
          <w:tab w:leader="none" w:pos="1764"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Commitment to all agreed messaging to internal staff and external partners;</w:t>
      </w:r>
    </w:p>
    <w:p>
      <w:pPr>
        <w:spacing w:after="0" w:line="1" w:lineRule="exact"/>
        <w:rPr>
          <w:rFonts w:ascii="Arial" w:cs="Arial" w:eastAsia="Arial" w:hAnsi="Arial"/>
          <w:sz w:val="20"/>
          <w:szCs w:val="20"/>
          <w:color w:val="auto"/>
        </w:rPr>
      </w:pPr>
    </w:p>
    <w:p>
      <w:pPr>
        <w:ind w:left="1764" w:right="1180" w:hanging="293"/>
        <w:spacing w:after="0" w:line="242" w:lineRule="auto"/>
        <w:tabs>
          <w:tab w:leader="none" w:pos="1833"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Employee will remain working as normal and fully available through the Termination Date for discussions, calls, and other work-related activities as normal; and</w:t>
      </w:r>
    </w:p>
    <w:p>
      <w:pPr>
        <w:ind w:left="1764" w:right="1180" w:hanging="293"/>
        <w:spacing w:after="0" w:line="257" w:lineRule="auto"/>
        <w:tabs>
          <w:tab w:leader="none" w:pos="1784" w:val="left"/>
        </w:tabs>
        <w:numPr>
          <w:ilvl w:val="1"/>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Employee will, during the period while rendering Advisor Services, ensure optimal knowledge sharing and support for the business in the transition of responsibilities.</w:t>
      </w:r>
    </w:p>
    <w:p>
      <w:pPr>
        <w:spacing w:after="0" w:line="158" w:lineRule="exact"/>
        <w:rPr>
          <w:rFonts w:ascii="Arial" w:cs="Arial" w:eastAsia="Arial" w:hAnsi="Arial"/>
          <w:sz w:val="20"/>
          <w:szCs w:val="20"/>
          <w:color w:val="auto"/>
        </w:rPr>
      </w:pPr>
    </w:p>
    <w:p>
      <w:pPr>
        <w:ind w:left="584" w:hanging="584"/>
        <w:spacing w:after="0"/>
        <w:tabs>
          <w:tab w:leader="none" w:pos="5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Liens and Encumbrances.</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Employee represents and warrants that the there are no liens or encumbrances on the Payments. Employee also represents and warrants that Employee has not assigned or transferred or purported to assign or transfer to any person, firm or corporation any claim, demand, right, damage, liability, debt, account, action, cause of action, or any other matter herein released. Employee agrees to indemnify and hold the Company and Released Parties harmless against any claim, demand, right, damage, liability, debt, account, action, cause of action, cost or expense, including attorneys’ fees, arising out of or in any way connected with any liens, encumbrances, transfer or assignment, or any such purported claimed lien, encumbrance, transfer or assignment.</w:t>
      </w:r>
    </w:p>
    <w:p>
      <w:pPr>
        <w:spacing w:after="0" w:line="173" w:lineRule="exact"/>
        <w:rPr>
          <w:sz w:val="20"/>
          <w:szCs w:val="20"/>
          <w:color w:val="auto"/>
        </w:rPr>
      </w:pPr>
    </w:p>
    <w:p>
      <w:pPr>
        <w:ind w:left="584" w:hanging="584"/>
        <w:spacing w:after="0"/>
        <w:tabs>
          <w:tab w:leader="none" w:pos="5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of Agreement.</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Notwithstanding any legal requirement which may compel the Company to publicly disclose the contents of this Agreement, Employee agrees not to disclose the terms of this Agreement (or any discussions related to this Agreement), or the fact of its existence or execution, to anyone other than Employee’s immediate family members, attorneys or accountants (provided that Employee obtains such person’s written agreement not to disclose the fact or terms of this Agreement and that a breach by such person shall be considered a breach by Employee), governmental taxing authorities, or pursuant to a subpoena or order of a court of competent jurisdiction or to the SEC, OSHA, EEOC, DFEH or NLRB to the extent required by law. This Confidentiality provision is a material term of this agreement.</w:t>
      </w:r>
    </w:p>
    <w:p>
      <w:pPr>
        <w:spacing w:after="0" w:line="186" w:lineRule="exact"/>
        <w:rPr>
          <w:sz w:val="20"/>
          <w:szCs w:val="20"/>
          <w:color w:val="auto"/>
        </w:rPr>
      </w:pPr>
    </w:p>
    <w:p>
      <w:pPr>
        <w:ind w:left="584" w:hanging="584"/>
        <w:spacing w:after="0"/>
        <w:tabs>
          <w:tab w:leader="none" w:pos="5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p>
    <w:p>
      <w:pPr>
        <w:spacing w:after="0" w:line="25" w:lineRule="exact"/>
        <w:rPr>
          <w:sz w:val="20"/>
          <w:szCs w:val="20"/>
          <w:color w:val="auto"/>
        </w:rPr>
      </w:pPr>
    </w:p>
    <w:p>
      <w:pPr>
        <w:jc w:val="both"/>
        <w:ind w:left="4" w:hanging="1"/>
        <w:spacing w:after="0" w:line="243" w:lineRule="auto"/>
        <w:rPr>
          <w:sz w:val="20"/>
          <w:szCs w:val="20"/>
          <w:color w:val="auto"/>
        </w:rPr>
      </w:pPr>
      <w:r>
        <w:rPr>
          <w:rFonts w:ascii="Times New Roman" w:cs="Times New Roman" w:eastAsia="Times New Roman" w:hAnsi="Times New Roman"/>
          <w:sz w:val="20"/>
          <w:szCs w:val="20"/>
          <w:color w:val="auto"/>
        </w:rPr>
        <w:t xml:space="preserve">Employee agrees that Employee shall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orally or in writing criticize, disparage, make any negative statements, or otherwise undermine the reputation of the Company or any of the Released Parties or comment in any negative way upon the business operations, products, services, employees, practices, procedures or policies of the Company or any of the Released Parties. Employee’s non-disparagement obligation is a material term of this Agreement. The</w:t>
      </w:r>
    </w:p>
    <w:p>
      <w:pPr>
        <w:spacing w:after="0" w:line="200" w:lineRule="exact"/>
        <w:rPr>
          <w:sz w:val="20"/>
          <w:szCs w:val="20"/>
          <w:color w:val="auto"/>
        </w:rPr>
      </w:pP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4"/>
          </w:cols>
          <w:pgMar w:left="316" w:top="1302" w:right="339" w:bottom="1440" w:gutter="0" w:footer="0" w:header="0"/>
        </w:sectPr>
      </w:pPr>
    </w:p>
    <w:bookmarkStart w:id="225" w:name="page226"/>
    <w:bookmarkEnd w:id="225"/>
    <w:p>
      <w:pPr>
        <w:jc w:val="both"/>
        <w:ind w:left="4"/>
        <w:spacing w:after="0" w:line="255" w:lineRule="auto"/>
        <w:rPr>
          <w:sz w:val="20"/>
          <w:szCs w:val="20"/>
          <w:color w:val="auto"/>
        </w:rPr>
      </w:pPr>
      <w:r>
        <w:rPr>
          <w:rFonts w:ascii="Times New Roman" w:cs="Times New Roman" w:eastAsia="Times New Roman" w:hAnsi="Times New Roman"/>
          <w:sz w:val="20"/>
          <w:szCs w:val="20"/>
          <w:color w:val="auto"/>
        </w:rPr>
        <w:t>Parties further agree that nothing in this Agreement, including any confidentiality or non-disparagement provisions, prevents employee from making truthful reports or disclosures to any federal, state or local government agency. Further, nothing in this Agreement prevents Employee from discussing or disclosing information about unlawful acts in the workplace, such as harassment or discrimination or any other conduct that Employee has reason to believe is unlawful.</w:t>
      </w:r>
    </w:p>
    <w:p>
      <w:pPr>
        <w:spacing w:after="0" w:line="161" w:lineRule="exact"/>
        <w:rPr>
          <w:sz w:val="20"/>
          <w:szCs w:val="20"/>
          <w:color w:val="auto"/>
        </w:rPr>
      </w:pPr>
    </w:p>
    <w:p>
      <w:pPr>
        <w:ind w:left="584" w:hanging="584"/>
        <w:spacing w:after="0"/>
        <w:tabs>
          <w:tab w:leader="none" w:pos="58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Should any clause or provision of this Agreement be declared illegal or unenforceable, it shall be modified as minimally necessary to be enforceable. If the provision cannot be modified to be enforceable, such provision shall be deemed null and void, leaving the remainder of this Agreement in full force and effect, provided, however, that if the deletion of such provision materially affects the operation of the release by Employee of all claims against the Company and/or the Released Parties, there shall be no obligation for the Company to make any payment to Employee under this Agreement except for 10% of the Payments, and any payment already made by the Company to Employee in accordance with this Agreement shall be fully recoverable by the Company as applicable from Employee, except for 10% of the Payments, which shall be sufficient consideration for any and all of Employee’s promises in this Agreement.</w:t>
      </w:r>
    </w:p>
    <w:p>
      <w:pPr>
        <w:spacing w:after="0" w:line="171" w:lineRule="exact"/>
        <w:rPr>
          <w:sz w:val="20"/>
          <w:szCs w:val="20"/>
          <w:color w:val="auto"/>
        </w:rPr>
      </w:pPr>
    </w:p>
    <w:p>
      <w:pPr>
        <w:ind w:left="584" w:hanging="584"/>
        <w:spacing w:after="0"/>
        <w:tabs>
          <w:tab w:leader="none" w:pos="5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Reliance.</w:t>
      </w:r>
    </w:p>
    <w:p>
      <w:pPr>
        <w:spacing w:after="0" w:line="25" w:lineRule="exact"/>
        <w:rPr>
          <w:sz w:val="20"/>
          <w:szCs w:val="20"/>
          <w:color w:val="auto"/>
        </w:rPr>
      </w:pPr>
    </w:p>
    <w:p>
      <w:pPr>
        <w:jc w:val="both"/>
        <w:ind w:left="4" w:hanging="1"/>
        <w:spacing w:after="0" w:line="250" w:lineRule="auto"/>
        <w:rPr>
          <w:sz w:val="20"/>
          <w:szCs w:val="20"/>
          <w:color w:val="auto"/>
        </w:rPr>
      </w:pPr>
      <w:r>
        <w:rPr>
          <w:rFonts w:ascii="Times New Roman" w:cs="Times New Roman" w:eastAsia="Times New Roman" w:hAnsi="Times New Roman"/>
          <w:sz w:val="20"/>
          <w:szCs w:val="20"/>
          <w:color w:val="auto"/>
        </w:rPr>
        <w:t>The Parties represent and acknowledge that in executing this Agreement, they do not rely and have not relied upon any representation or statement made by the other party or the other party’s agents, attorneys, employees, officers, directors, or representatives with regard to the subject matter, basis or effect of this Agreement or otherwise, other than those specifically stated in this Agreement.</w:t>
      </w:r>
    </w:p>
    <w:p>
      <w:pPr>
        <w:spacing w:after="0" w:line="165" w:lineRule="exact"/>
        <w:rPr>
          <w:sz w:val="20"/>
          <w:szCs w:val="20"/>
          <w:color w:val="auto"/>
        </w:rPr>
      </w:pPr>
    </w:p>
    <w:p>
      <w:pPr>
        <w:ind w:left="584" w:hanging="584"/>
        <w:spacing w:after="0"/>
        <w:tabs>
          <w:tab w:leader="none" w:pos="5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p>
    <w:p>
      <w:pPr>
        <w:spacing w:after="0" w:line="223"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Employee agrees and acknowledges that Employee shall continue to be bound by the Company’s Confidential Information Agreement.</w:t>
      </w:r>
    </w:p>
    <w:p>
      <w:pPr>
        <w:spacing w:after="0" w:line="199" w:lineRule="exact"/>
        <w:rPr>
          <w:sz w:val="20"/>
          <w:szCs w:val="20"/>
          <w:color w:val="auto"/>
        </w:rPr>
      </w:pPr>
    </w:p>
    <w:p>
      <w:pPr>
        <w:jc w:val="both"/>
        <w:ind w:left="4" w:hanging="1"/>
        <w:spacing w:after="0" w:line="255" w:lineRule="auto"/>
        <w:rPr>
          <w:sz w:val="20"/>
          <w:szCs w:val="20"/>
          <w:color w:val="auto"/>
        </w:rPr>
      </w:pPr>
      <w:r>
        <w:rPr>
          <w:rFonts w:ascii="Times New Roman" w:cs="Times New Roman" w:eastAsia="Times New Roman" w:hAnsi="Times New Roman"/>
          <w:sz w:val="20"/>
          <w:szCs w:val="20"/>
          <w:color w:val="auto"/>
        </w:rPr>
        <w:t>13.2.</w:t>
      </w:r>
      <w:r>
        <w:rPr>
          <w:sz w:val="20"/>
          <w:szCs w:val="20"/>
          <w:color w:val="auto"/>
        </w:rPr>
        <w:t xml:space="preserve"> </w:t>
      </w:r>
      <w:r>
        <w:rPr>
          <w:rFonts w:ascii="Times New Roman" w:cs="Times New Roman" w:eastAsia="Times New Roman" w:hAnsi="Times New Roman"/>
          <w:sz w:val="20"/>
          <w:szCs w:val="20"/>
          <w:color w:val="auto"/>
        </w:rPr>
        <w:t>Employee agrees and acknowledges that during Employee’s employment, Employee obtained certain confidential business information of the Company and its clients. Employee agrees to hold in strictest confidence, and not to use (except for the benefit of the Company as applicable) or disclose to any person, firm, or corporation without written authorization of an officer of the Company, any confidential or proprietary information.</w:t>
      </w:r>
    </w:p>
    <w:p>
      <w:pPr>
        <w:spacing w:after="0" w:line="161" w:lineRule="exact"/>
        <w:rPr>
          <w:sz w:val="20"/>
          <w:szCs w:val="20"/>
          <w:color w:val="auto"/>
        </w:rPr>
      </w:pPr>
    </w:p>
    <w:p>
      <w:pPr>
        <w:jc w:val="both"/>
        <w:ind w:left="4" w:hanging="1"/>
        <w:spacing w:after="0" w:line="252" w:lineRule="auto"/>
        <w:rPr>
          <w:sz w:val="20"/>
          <w:szCs w:val="20"/>
          <w:color w:val="auto"/>
        </w:rPr>
      </w:pPr>
      <w:r>
        <w:rPr>
          <w:rFonts w:ascii="Times New Roman" w:cs="Times New Roman" w:eastAsia="Times New Roman" w:hAnsi="Times New Roman"/>
          <w:sz w:val="20"/>
          <w:szCs w:val="20"/>
          <w:color w:val="auto"/>
        </w:rPr>
        <w:t>13.3.</w:t>
      </w:r>
      <w:r>
        <w:rPr>
          <w:sz w:val="20"/>
          <w:szCs w:val="20"/>
          <w:color w:val="auto"/>
        </w:rPr>
        <w:t xml:space="preserve"> </w:t>
      </w:r>
      <w:r>
        <w:rPr>
          <w:rFonts w:ascii="Times New Roman" w:cs="Times New Roman" w:eastAsia="Times New Roman" w:hAnsi="Times New Roman"/>
          <w:sz w:val="20"/>
          <w:szCs w:val="20"/>
          <w:color w:val="auto"/>
        </w:rPr>
        <w:t>Employee understands that this confidential or proprietary information is or may be in the nature of a trade secret, and is the exclusive property of the Company. Employee will not retain any copies of any such confidential or proprietary information in Employee’s possession or under Employee’s control and will return all such confidential and proprietary information to the Company. Employee covenants that Employee will not, directly or indirectly, use for Employee’s own benefit, use to the detriment of the Company, or divulge to persons other than authorized representatives of the Company, any confidential or proprietary information.</w:t>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4"/>
          </w:cols>
          <w:pgMar w:left="316" w:top="1302" w:right="339" w:bottom="1440" w:gutter="0" w:footer="0" w:header="0"/>
        </w:sectPr>
      </w:pPr>
    </w:p>
    <w:bookmarkStart w:id="226" w:name="page227"/>
    <w:bookmarkEnd w:id="226"/>
    <w:p>
      <w:pPr>
        <w:ind w:left="584" w:hanging="584"/>
        <w:spacing w:after="0"/>
        <w:tabs>
          <w:tab w:leader="none" w:pos="58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5" w:lineRule="exact"/>
        <w:rPr>
          <w:sz w:val="20"/>
          <w:szCs w:val="20"/>
          <w:color w:val="auto"/>
        </w:rPr>
      </w:pPr>
    </w:p>
    <w:p>
      <w:pPr>
        <w:jc w:val="both"/>
        <w:ind w:left="4" w:hanging="1"/>
        <w:spacing w:after="0" w:line="246" w:lineRule="auto"/>
        <w:rPr>
          <w:sz w:val="20"/>
          <w:szCs w:val="20"/>
          <w:color w:val="auto"/>
        </w:rPr>
      </w:pPr>
      <w:r>
        <w:rPr>
          <w:rFonts w:ascii="Times New Roman" w:cs="Times New Roman" w:eastAsia="Times New Roman" w:hAnsi="Times New Roman"/>
          <w:sz w:val="20"/>
          <w:szCs w:val="20"/>
          <w:color w:val="auto"/>
        </w:rPr>
        <w:t>14.1.</w:t>
      </w:r>
      <w:r>
        <w:rPr>
          <w:sz w:val="20"/>
          <w:szCs w:val="20"/>
          <w:color w:val="auto"/>
        </w:rPr>
        <w:t xml:space="preserve"> </w:t>
      </w:r>
      <w:r>
        <w:rPr>
          <w:rFonts w:ascii="Times New Roman" w:cs="Times New Roman" w:eastAsia="Times New Roman" w:hAnsi="Times New Roman"/>
          <w:sz w:val="20"/>
          <w:szCs w:val="20"/>
          <w:color w:val="auto"/>
        </w:rPr>
        <w:t>Counterparts and Signatures: This Agreement may be executed in two or more counterparts, each of which shall be deemed an original, but all of which shall constitute one and the same written instrument. An electronic signature (i.e., an electronic sound, symbol, or process attached or associated with a contract or record and executed or adopted by a person with the intent to sign a record) will be treated as a handwritten signature under federal and state law. Delivery of this Agreement via electronic or facsimile transmission shall be deemed equivalent to physical delivery of the Agreement.</w:t>
      </w:r>
    </w:p>
    <w:p>
      <w:pPr>
        <w:spacing w:after="0" w:line="171" w:lineRule="exact"/>
        <w:rPr>
          <w:sz w:val="20"/>
          <w:szCs w:val="20"/>
          <w:color w:val="auto"/>
        </w:rPr>
      </w:pPr>
    </w:p>
    <w:p>
      <w:pPr>
        <w:jc w:val="both"/>
        <w:ind w:left="4" w:hanging="1"/>
        <w:spacing w:after="0" w:line="255" w:lineRule="auto"/>
        <w:rPr>
          <w:sz w:val="20"/>
          <w:szCs w:val="20"/>
          <w:color w:val="auto"/>
        </w:rPr>
      </w:pPr>
      <w:r>
        <w:rPr>
          <w:rFonts w:ascii="Times New Roman" w:cs="Times New Roman" w:eastAsia="Times New Roman" w:hAnsi="Times New Roman"/>
          <w:sz w:val="20"/>
          <w:szCs w:val="20"/>
          <w:color w:val="auto"/>
        </w:rPr>
        <w:t>14.2.</w:t>
      </w:r>
      <w:r>
        <w:rPr>
          <w:sz w:val="20"/>
          <w:szCs w:val="20"/>
          <w:color w:val="auto"/>
        </w:rPr>
        <w:t xml:space="preserve"> </w:t>
      </w:r>
      <w:r>
        <w:rPr>
          <w:rFonts w:ascii="Times New Roman" w:cs="Times New Roman" w:eastAsia="Times New Roman" w:hAnsi="Times New Roman"/>
          <w:sz w:val="20"/>
          <w:szCs w:val="20"/>
          <w:color w:val="auto"/>
        </w:rPr>
        <w:t>Successors in Interest: This Agreement shall be binding upon the Parties and upon their heirs, administrators, representatives, executors, successors, and assigns, and shall inure to the benefit of the Parties and each of them and to their heirs, administrators, representatives, executors, successors, and assigns. Employee expressly warrants that Employee has not transferred to any person or entity any rights, causes of action, or claims released in this Agreement, and that Employee is fully empowered to enter into this Agreement.</w:t>
      </w:r>
    </w:p>
    <w:p>
      <w:pPr>
        <w:spacing w:after="0" w:line="161" w:lineRule="exact"/>
        <w:rPr>
          <w:sz w:val="20"/>
          <w:szCs w:val="20"/>
          <w:color w:val="auto"/>
        </w:rPr>
      </w:pPr>
    </w:p>
    <w:p>
      <w:pPr>
        <w:jc w:val="both"/>
        <w:ind w:left="4" w:hanging="1"/>
        <w:spacing w:after="0" w:line="255" w:lineRule="auto"/>
        <w:rPr>
          <w:sz w:val="20"/>
          <w:szCs w:val="20"/>
          <w:color w:val="auto"/>
        </w:rPr>
      </w:pPr>
      <w:r>
        <w:rPr>
          <w:rFonts w:ascii="Times New Roman" w:cs="Times New Roman" w:eastAsia="Times New Roman" w:hAnsi="Times New Roman"/>
          <w:sz w:val="20"/>
          <w:szCs w:val="20"/>
          <w:color w:val="auto"/>
        </w:rPr>
        <w:t>14.3.</w:t>
      </w:r>
      <w:r>
        <w:rPr>
          <w:sz w:val="20"/>
          <w:szCs w:val="20"/>
          <w:color w:val="auto"/>
        </w:rPr>
        <w:t xml:space="preserve"> </w:t>
      </w:r>
      <w:r>
        <w:rPr>
          <w:rFonts w:ascii="Times New Roman" w:cs="Times New Roman" w:eastAsia="Times New Roman" w:hAnsi="Times New Roman"/>
          <w:sz w:val="20"/>
          <w:szCs w:val="20"/>
          <w:color w:val="auto"/>
        </w:rPr>
        <w:t>Governing Law and Interpretation: This Agreement shall be governed by, interpreted under and enforced under the laws of California and venue shall be deemed to be in San Francisco County, California. The Agreement shall be interpreted in accordance with the plain meaning of its terms and not strictly for or against any of the Parties hereto.</w:t>
      </w:r>
    </w:p>
    <w:p>
      <w:pPr>
        <w:spacing w:after="0" w:line="16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19"/>
          <w:szCs w:val="19"/>
          <w:color w:val="auto"/>
        </w:rPr>
        <w:t>Amendment: This Agreement may not be modified, altered or changed, except upon express written consent of the Parties.</w:t>
      </w:r>
    </w:p>
    <w:p>
      <w:pPr>
        <w:spacing w:after="0" w:line="211" w:lineRule="exact"/>
        <w:rPr>
          <w:sz w:val="20"/>
          <w:szCs w:val="20"/>
          <w:color w:val="auto"/>
        </w:rPr>
      </w:pPr>
    </w:p>
    <w:p>
      <w:pPr>
        <w:jc w:val="both"/>
        <w:ind w:left="4" w:hanging="1"/>
        <w:spacing w:after="0" w:line="268" w:lineRule="auto"/>
        <w:rPr>
          <w:sz w:val="20"/>
          <w:szCs w:val="20"/>
          <w:color w:val="auto"/>
        </w:rPr>
      </w:pPr>
      <w:r>
        <w:rPr>
          <w:rFonts w:ascii="Times New Roman" w:cs="Times New Roman" w:eastAsia="Times New Roman" w:hAnsi="Times New Roman"/>
          <w:sz w:val="20"/>
          <w:szCs w:val="20"/>
          <w:color w:val="auto"/>
        </w:rPr>
        <w:t>14.5.</w:t>
      </w:r>
      <w:r>
        <w:rPr>
          <w:sz w:val="20"/>
          <w:szCs w:val="20"/>
          <w:color w:val="auto"/>
        </w:rPr>
        <w:t xml:space="preserve"> </w:t>
      </w:r>
      <w:r>
        <w:rPr>
          <w:rFonts w:ascii="Times New Roman" w:cs="Times New Roman" w:eastAsia="Times New Roman" w:hAnsi="Times New Roman"/>
          <w:sz w:val="20"/>
          <w:szCs w:val="20"/>
          <w:color w:val="auto"/>
        </w:rPr>
        <w:t>Entire Agreement: This Agreement, together with any exhibits and other documents expressly referenced in this Agreement, sets forth the entire agreement between the Parties and supersedes any prior agreements, contracts or understandings between the Parties.</w:t>
      </w:r>
    </w:p>
    <w:p>
      <w:pPr>
        <w:spacing w:after="0" w:line="148" w:lineRule="exact"/>
        <w:rPr>
          <w:sz w:val="20"/>
          <w:szCs w:val="20"/>
          <w:color w:val="auto"/>
        </w:rPr>
      </w:pPr>
    </w:p>
    <w:p>
      <w:pPr>
        <w:ind w:left="584" w:hanging="584"/>
        <w:spacing w:after="0"/>
        <w:tabs>
          <w:tab w:leader="none" w:pos="5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 Agreement</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By signing this Agreement, Employee acknowledges that:</w:t>
      </w:r>
    </w:p>
    <w:p>
      <w:pPr>
        <w:spacing w:after="0" w:line="177" w:lineRule="exact"/>
        <w:rPr>
          <w:sz w:val="20"/>
          <w:szCs w:val="20"/>
          <w:color w:val="auto"/>
        </w:rPr>
      </w:pPr>
    </w:p>
    <w:p>
      <w:pPr>
        <w:jc w:val="both"/>
        <w:ind w:left="4" w:hanging="1"/>
        <w:spacing w:after="0" w:line="252" w:lineRule="auto"/>
        <w:rPr>
          <w:sz w:val="20"/>
          <w:szCs w:val="20"/>
          <w:color w:val="auto"/>
        </w:rPr>
      </w:pPr>
      <w:r>
        <w:rPr>
          <w:rFonts w:ascii="Times New Roman" w:cs="Times New Roman" w:eastAsia="Times New Roman" w:hAnsi="Times New Roman"/>
          <w:sz w:val="20"/>
          <w:szCs w:val="20"/>
          <w:color w:val="auto"/>
        </w:rPr>
        <w:t>15.1.</w:t>
      </w:r>
      <w:r>
        <w:rPr>
          <w:sz w:val="20"/>
          <w:szCs w:val="20"/>
          <w:color w:val="auto"/>
        </w:rPr>
        <w:t xml:space="preserve"> </w:t>
      </w:r>
      <w:r>
        <w:rPr>
          <w:rFonts w:ascii="Times New Roman" w:cs="Times New Roman" w:eastAsia="Times New Roman" w:hAnsi="Times New Roman"/>
          <w:sz w:val="20"/>
          <w:szCs w:val="20"/>
          <w:color w:val="auto"/>
        </w:rPr>
        <w:t>Employee has had a full twenty-one (21) days within which to consider this Agreement before executing it or has freely and knowingly waived the right to consider this Agreement for a full twenty-one (21) days by executing the Agreement before the expiration of the twenty-one (21) day period, and has not been induced by Employer through fraud, misrepresentation, a threat by Employer to withdraw or alter the Agreement prior to the expiration of the reasonable time period, or by Employer providing different terms to other employees who sign similar severance or separation agreements prior to the expiration of the twenty-one (21) day time period;</w:t>
      </w:r>
    </w:p>
    <w:p>
      <w:pPr>
        <w:spacing w:after="0" w:line="164" w:lineRule="exact"/>
        <w:rPr>
          <w:sz w:val="20"/>
          <w:szCs w:val="20"/>
          <w:color w:val="auto"/>
        </w:rPr>
      </w:pPr>
    </w:p>
    <w:p>
      <w:pPr>
        <w:jc w:val="both"/>
        <w:ind w:left="4" w:hanging="1"/>
        <w:spacing w:after="0" w:line="281" w:lineRule="auto"/>
        <w:rPr>
          <w:sz w:val="20"/>
          <w:szCs w:val="20"/>
          <w:color w:val="auto"/>
        </w:rPr>
      </w:pPr>
      <w:r>
        <w:rPr>
          <w:rFonts w:ascii="Times New Roman" w:cs="Times New Roman" w:eastAsia="Times New Roman" w:hAnsi="Times New Roman"/>
          <w:sz w:val="20"/>
          <w:szCs w:val="20"/>
          <w:color w:val="auto"/>
        </w:rPr>
        <w:t>15.2.</w:t>
      </w:r>
      <w:r>
        <w:rPr>
          <w:sz w:val="20"/>
          <w:szCs w:val="20"/>
          <w:color w:val="auto"/>
        </w:rPr>
        <w:t xml:space="preserve"> </w:t>
      </w:r>
      <w:r>
        <w:rPr>
          <w:rFonts w:ascii="Times New Roman" w:cs="Times New Roman" w:eastAsia="Times New Roman" w:hAnsi="Times New Roman"/>
          <w:sz w:val="20"/>
          <w:szCs w:val="20"/>
          <w:color w:val="auto"/>
        </w:rPr>
        <w:t>The Parties agree that any changes, whether material or immaterial, to this Agreement, do not restart the running of the twenty-one (21) day period;</w:t>
      </w:r>
    </w:p>
    <w:p>
      <w:pPr>
        <w:spacing w:after="0" w:line="135"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color w:val="auto"/>
        </w:rPr>
        <w:t>Employee has carefully read and fully understands all provisions of this Agreement;</w:t>
      </w:r>
    </w:p>
    <w:p>
      <w:pPr>
        <w:spacing w:after="0" w:line="199" w:lineRule="exact"/>
        <w:rPr>
          <w:sz w:val="20"/>
          <w:szCs w:val="20"/>
          <w:color w:val="auto"/>
        </w:rPr>
      </w:pPr>
    </w:p>
    <w:p>
      <w:pPr>
        <w:jc w:val="both"/>
        <w:ind w:left="4" w:hanging="1"/>
        <w:spacing w:after="0" w:line="268" w:lineRule="auto"/>
        <w:rPr>
          <w:sz w:val="20"/>
          <w:szCs w:val="20"/>
          <w:color w:val="auto"/>
        </w:rPr>
      </w:pPr>
      <w:r>
        <w:rPr>
          <w:rFonts w:ascii="Times New Roman" w:cs="Times New Roman" w:eastAsia="Times New Roman" w:hAnsi="Times New Roman"/>
          <w:sz w:val="20"/>
          <w:szCs w:val="20"/>
          <w:color w:val="auto"/>
        </w:rPr>
        <w:t>15.4.</w:t>
      </w:r>
      <w:r>
        <w:rPr>
          <w:sz w:val="20"/>
          <w:szCs w:val="20"/>
          <w:color w:val="auto"/>
        </w:rPr>
        <w:t xml:space="preserve"> </w:t>
      </w:r>
      <w:r>
        <w:rPr>
          <w:rFonts w:ascii="Times New Roman" w:cs="Times New Roman" w:eastAsia="Times New Roman" w:hAnsi="Times New Roman"/>
          <w:sz w:val="20"/>
          <w:szCs w:val="20"/>
          <w:color w:val="auto"/>
        </w:rPr>
        <w:t>Employee knowingly and voluntarily agrees to all of the terms set forth in this Agreement and agrees to be legally bound by all of the terms set forth in this Agreement;</w:t>
      </w: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4"/>
          </w:cols>
          <w:pgMar w:left="316" w:top="1302" w:right="339" w:bottom="1440" w:gutter="0" w:footer="0" w:header="0"/>
        </w:sectPr>
      </w:pPr>
    </w:p>
    <w:bookmarkStart w:id="227" w:name="page228"/>
    <w:bookmarkEnd w:id="227"/>
    <w:p>
      <w:pPr>
        <w:jc w:val="both"/>
        <w:ind w:left="4" w:hanging="1"/>
        <w:spacing w:after="0" w:line="268" w:lineRule="auto"/>
        <w:rPr>
          <w:sz w:val="20"/>
          <w:szCs w:val="20"/>
          <w:color w:val="auto"/>
        </w:rPr>
      </w:pPr>
      <w:r>
        <w:rPr>
          <w:rFonts w:ascii="Times New Roman" w:cs="Times New Roman" w:eastAsia="Times New Roman" w:hAnsi="Times New Roman"/>
          <w:sz w:val="20"/>
          <w:szCs w:val="20"/>
          <w:color w:val="auto"/>
        </w:rPr>
        <w:t>15.5.</w:t>
      </w:r>
      <w:r>
        <w:rPr>
          <w:sz w:val="20"/>
          <w:szCs w:val="20"/>
          <w:color w:val="auto"/>
        </w:rPr>
        <w:t xml:space="preserve"> </w:t>
      </w:r>
      <w:r>
        <w:rPr>
          <w:rFonts w:ascii="Times New Roman" w:cs="Times New Roman" w:eastAsia="Times New Roman" w:hAnsi="Times New Roman"/>
          <w:sz w:val="20"/>
          <w:szCs w:val="20"/>
          <w:color w:val="auto"/>
        </w:rPr>
        <w:t>Employee has been and hereby is advised in writing to consider the terms of this Agreement and has been given at least five (5) business days to consult with an attorney;</w:t>
      </w:r>
    </w:p>
    <w:p>
      <w:pPr>
        <w:spacing w:after="0" w:line="148" w:lineRule="exact"/>
        <w:rPr>
          <w:sz w:val="20"/>
          <w:szCs w:val="20"/>
          <w:color w:val="auto"/>
        </w:rPr>
      </w:pPr>
    </w:p>
    <w:p>
      <w:pPr>
        <w:jc w:val="both"/>
        <w:ind w:left="4" w:hanging="1"/>
        <w:spacing w:after="0" w:line="281" w:lineRule="auto"/>
        <w:rPr>
          <w:sz w:val="20"/>
          <w:szCs w:val="20"/>
          <w:color w:val="auto"/>
        </w:rPr>
      </w:pPr>
      <w:r>
        <w:rPr>
          <w:rFonts w:ascii="Times New Roman" w:cs="Times New Roman" w:eastAsia="Times New Roman" w:hAnsi="Times New Roman"/>
          <w:sz w:val="20"/>
          <w:szCs w:val="20"/>
          <w:color w:val="auto"/>
        </w:rPr>
        <w:t>15.6.</w:t>
      </w:r>
      <w:r>
        <w:rPr>
          <w:sz w:val="20"/>
          <w:szCs w:val="20"/>
          <w:color w:val="auto"/>
        </w:rPr>
        <w:t xml:space="preserve"> </w:t>
      </w:r>
      <w:r>
        <w:rPr>
          <w:rFonts w:ascii="Times New Roman" w:cs="Times New Roman" w:eastAsia="Times New Roman" w:hAnsi="Times New Roman"/>
          <w:sz w:val="20"/>
          <w:szCs w:val="20"/>
          <w:color w:val="auto"/>
        </w:rPr>
        <w:t>Prior to signing this Agreement, Employee has had the opportunity to consult with counsel of Employee’s choice concerning the terms and conditions of this Agreement and has done so or freely chosen not to do so;</w:t>
      </w:r>
    </w:p>
    <w:p>
      <w:pPr>
        <w:spacing w:after="0" w:line="135" w:lineRule="exact"/>
        <w:rPr>
          <w:sz w:val="20"/>
          <w:szCs w:val="20"/>
          <w:color w:val="auto"/>
        </w:rPr>
      </w:pPr>
    </w:p>
    <w:p>
      <w:pPr>
        <w:jc w:val="both"/>
        <w:ind w:left="4" w:hanging="1"/>
        <w:spacing w:after="0" w:line="251" w:lineRule="auto"/>
        <w:rPr>
          <w:sz w:val="20"/>
          <w:szCs w:val="20"/>
          <w:color w:val="auto"/>
        </w:rPr>
      </w:pPr>
      <w:r>
        <w:rPr>
          <w:rFonts w:ascii="Times New Roman" w:cs="Times New Roman" w:eastAsia="Times New Roman" w:hAnsi="Times New Roman"/>
          <w:sz w:val="20"/>
          <w:szCs w:val="20"/>
          <w:color w:val="auto"/>
        </w:rPr>
        <w:t>15.7.</w:t>
      </w:r>
      <w:r>
        <w:rPr>
          <w:sz w:val="20"/>
          <w:szCs w:val="20"/>
          <w:color w:val="auto"/>
        </w:rPr>
        <w:t xml:space="preserve"> </w:t>
      </w:r>
      <w:r>
        <w:rPr>
          <w:rFonts w:ascii="Times New Roman" w:cs="Times New Roman" w:eastAsia="Times New Roman" w:hAnsi="Times New Roman"/>
          <w:sz w:val="20"/>
          <w:szCs w:val="20"/>
          <w:color w:val="auto"/>
        </w:rPr>
        <w:t>Employee has a full seven (7) days following the execution of this Agreement to revoke this Agreement. To revoke, Employee must send a written statement of revocation to hroperations@sonder.com. If Employee revokes within seven (7) days, Employee will receive no benefits under this Agreement. In the event Employee does not exercise Employee’s right to revoke this Agreement, the Agreement shall become effective on the date immediately following the seven-day (7) waiting period described above; and</w:t>
      </w:r>
    </w:p>
    <w:p>
      <w:pPr>
        <w:spacing w:after="0" w:line="177" w:lineRule="exact"/>
        <w:rPr>
          <w:sz w:val="20"/>
          <w:szCs w:val="20"/>
          <w:color w:val="auto"/>
        </w:rPr>
      </w:pPr>
    </w:p>
    <w:p>
      <w:pPr>
        <w:jc w:val="both"/>
        <w:ind w:left="4" w:hanging="1"/>
        <w:spacing w:after="0" w:line="247" w:lineRule="auto"/>
        <w:rPr>
          <w:sz w:val="20"/>
          <w:szCs w:val="20"/>
          <w:color w:val="auto"/>
        </w:rPr>
      </w:pPr>
      <w:r>
        <w:rPr>
          <w:rFonts w:ascii="Times New Roman" w:cs="Times New Roman" w:eastAsia="Times New Roman" w:hAnsi="Times New Roman"/>
          <w:sz w:val="20"/>
          <w:szCs w:val="20"/>
          <w:color w:val="auto"/>
        </w:rPr>
        <w:t>15.8.</w:t>
      </w:r>
      <w:r>
        <w:rPr>
          <w:sz w:val="20"/>
          <w:szCs w:val="20"/>
          <w:color w:val="auto"/>
        </w:rPr>
        <w:t xml:space="preserve"> </w:t>
      </w:r>
      <w:r>
        <w:rPr>
          <w:rFonts w:ascii="Times New Roman" w:cs="Times New Roman" w:eastAsia="Times New Roman" w:hAnsi="Times New Roman"/>
          <w:sz w:val="20"/>
          <w:szCs w:val="20"/>
          <w:color w:val="auto"/>
        </w:rPr>
        <w:t>Employee expressly understands that among the various rights and claims being waived by this Agreement are those arising under the Age Discrimination in Employment Act (ADEA) of 1967 (29 U.S.C. § 621, et seq.), but that any such claims that arise after the date of this Agreement are not waived. Although Employee is releasing claims that Employee may have under the Older Workers Benefit Protection Act (OWBPA) and ADEA, Employee understands that Employee may challenge the knowing and voluntary nature of Employee’s release in this Agreement before a court, the Equal Employment Opportunity Commission (EEOC), NLRB, or any other federal, state or local agency charged with the enforcement of such employment laws.</w:t>
      </w:r>
    </w:p>
    <w:p>
      <w:pPr>
        <w:spacing w:after="0" w:line="184" w:lineRule="exact"/>
        <w:rPr>
          <w:sz w:val="20"/>
          <w:szCs w:val="20"/>
          <w:color w:val="auto"/>
        </w:rPr>
      </w:pPr>
    </w:p>
    <w:p>
      <w:pPr>
        <w:ind w:left="584" w:hanging="584"/>
        <w:spacing w:after="0"/>
        <w:tabs>
          <w:tab w:leader="none" w:pos="5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Receipt of All Wages Due.</w:t>
      </w:r>
    </w:p>
    <w:p>
      <w:pPr>
        <w:spacing w:after="0" w:line="25" w:lineRule="exact"/>
        <w:rPr>
          <w:sz w:val="20"/>
          <w:szCs w:val="20"/>
          <w:color w:val="auto"/>
        </w:rPr>
      </w:pPr>
    </w:p>
    <w:p>
      <w:pPr>
        <w:jc w:val="both"/>
        <w:ind w:left="4" w:hanging="1"/>
        <w:spacing w:after="0" w:line="245" w:lineRule="auto"/>
        <w:rPr>
          <w:sz w:val="20"/>
          <w:szCs w:val="20"/>
          <w:color w:val="auto"/>
        </w:rPr>
      </w:pPr>
      <w:r>
        <w:rPr>
          <w:rFonts w:ascii="Times New Roman" w:cs="Times New Roman" w:eastAsia="Times New Roman" w:hAnsi="Times New Roman"/>
          <w:sz w:val="20"/>
          <w:szCs w:val="20"/>
          <w:color w:val="auto"/>
        </w:rPr>
        <w:t>Employee agrees and acknowledges that any dispute related to the payment of wages or other compensation to Employee is hereby resolved to Employee’s complete and full satisfaction and that Employee has, in fact, received all wages and compensation to which Employee is due with the sole exception of the Payments referenced in Paragraph 1 of the Agreement. Employee agrees that California Labor Code section 206.5 is not applicable because there is a good faith dispute as to whether Employer owes Employee any wages. Section 206.5 provides, in pertinent part, as follows: “An employee shall not require the execution of a release of claim right on account of wages due, or to become due, or made as an advance on wages to be earned, unless payment of those wages has been made.”</w:t>
      </w:r>
    </w:p>
    <w:p>
      <w:pPr>
        <w:spacing w:after="0" w:line="198" w:lineRule="exact"/>
        <w:rPr>
          <w:sz w:val="20"/>
          <w:szCs w:val="20"/>
          <w:color w:val="auto"/>
        </w:rPr>
      </w:pPr>
    </w:p>
    <w:p>
      <w:pPr>
        <w:jc w:val="both"/>
        <w:ind w:left="4" w:hanging="4"/>
        <w:spacing w:after="0" w:line="248" w:lineRule="auto"/>
        <w:tabs>
          <w:tab w:leader="none" w:pos="45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Parties agree that this Agreement shall be interpreted to comply with or be exempt from Section 409A of the Internal Revenue Code of 1986, as amended, and the regulations and guidance promulgated thereunder to the extent applicable (collectively “Section 409A”), and all provisions of this Agreement shall be construed in a manner consistent with the requirements for avoiding taxes or penalties under Section 409A. In no event whatsoever will the Company be liable for any additional tax, interest or penalties that may be imposed on Employee under Section 409A or any damages for failing to comply with Section 409A.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w:t>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4"/>
          </w:cols>
          <w:pgMar w:left="316" w:top="1302" w:right="339" w:bottom="1440" w:gutter="0" w:footer="0" w:header="0"/>
        </w:sectPr>
      </w:pPr>
    </w:p>
    <w:bookmarkStart w:id="228" w:name="page229"/>
    <w:bookmarkEnd w:id="228"/>
    <w:p>
      <w:pPr>
        <w:jc w:val="both"/>
        <w:ind w:left="20" w:right="40"/>
        <w:spacing w:after="0" w:line="261" w:lineRule="auto"/>
        <w:rPr>
          <w:sz w:val="20"/>
          <w:szCs w:val="20"/>
          <w:color w:val="auto"/>
        </w:rPr>
      </w:pPr>
      <w:r>
        <w:rPr>
          <w:rFonts w:ascii="Times New Roman" w:cs="Times New Roman" w:eastAsia="Times New Roman" w:hAnsi="Times New Roman"/>
          <w:sz w:val="19"/>
          <w:szCs w:val="19"/>
          <w:color w:val="auto"/>
        </w:rPr>
        <w:t>the expenses eligible for reimbursement, or in-kind benefits, to be provided in any other taxable year, provided, that, this clause (ii) shall not be violated with regard to expenses reimbursed under any arrangement covered by Internal Revenue Section 105(b) solely because such expenses are subject to a limit related to the period the arrangement is in effect, and (iii) such payments shall be made on or before the last day of Employee’s taxable year following the taxable year in which the expense occurred. For purposes of Section 409A,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w:t>
      </w:r>
    </w:p>
    <w:p>
      <w:pPr>
        <w:spacing w:after="0" w:line="4" w:lineRule="exact"/>
        <w:rPr>
          <w:sz w:val="20"/>
          <w:szCs w:val="20"/>
          <w:color w:val="auto"/>
        </w:rPr>
      </w:pPr>
    </w:p>
    <w:p>
      <w:pPr>
        <w:ind w:left="20" w:right="40" w:hanging="2"/>
        <w:spacing w:after="0" w:line="245" w:lineRule="auto"/>
        <w:tabs>
          <w:tab w:leader="none" w:pos="40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date of termination”), the actual date of payment within the specified period shall be within the sole discretion of the Company.</w:t>
      </w:r>
    </w:p>
    <w:p>
      <w:pPr>
        <w:spacing w:after="0" w:line="200" w:lineRule="exact"/>
        <w:rPr>
          <w:sz w:val="20"/>
          <w:szCs w:val="20"/>
          <w:color w:val="auto"/>
        </w:rPr>
      </w:pPr>
    </w:p>
    <w:p>
      <w:pPr>
        <w:spacing w:after="0" w:line="223" w:lineRule="exact"/>
        <w:rPr>
          <w:sz w:val="20"/>
          <w:szCs w:val="20"/>
          <w:color w:val="auto"/>
        </w:rPr>
      </w:pPr>
    </w:p>
    <w:p>
      <w:pPr>
        <w:ind w:left="20" w:right="40" w:hanging="1"/>
        <w:spacing w:after="0" w:line="272" w:lineRule="auto"/>
        <w:rPr>
          <w:sz w:val="20"/>
          <w:szCs w:val="20"/>
          <w:color w:val="auto"/>
        </w:rPr>
      </w:pPr>
      <w:r>
        <w:rPr>
          <w:rFonts w:ascii="Times New Roman" w:cs="Times New Roman" w:eastAsia="Times New Roman" w:hAnsi="Times New Roman"/>
          <w:sz w:val="20"/>
          <w:szCs w:val="20"/>
          <w:b w:val="1"/>
          <w:bCs w:val="1"/>
          <w:color w:val="auto"/>
        </w:rPr>
        <w:t>Having read the foregoing, having fully understood and agreed to the terms and provisions of this Agreement and intending to be bound hereby, the Parties voluntarily and of their own free will execute this Agreement as follows:</w:t>
      </w:r>
    </w:p>
    <w:p>
      <w:pPr>
        <w:spacing w:after="0" w:line="128" w:lineRule="exact"/>
        <w:rPr>
          <w:sz w:val="20"/>
          <w:szCs w:val="20"/>
          <w:color w:val="auto"/>
        </w:rPr>
      </w:pPr>
    </w:p>
    <w:p>
      <w:pPr>
        <w:ind w:left="20" w:right="40" w:hanging="1"/>
        <w:spacing w:after="0" w:line="259" w:lineRule="auto"/>
        <w:rPr>
          <w:sz w:val="20"/>
          <w:szCs w:val="20"/>
          <w:color w:val="auto"/>
        </w:rPr>
      </w:pPr>
      <w:r>
        <w:rPr>
          <w:rFonts w:ascii="Times New Roman" w:cs="Times New Roman" w:eastAsia="Times New Roman" w:hAnsi="Times New Roman"/>
          <w:sz w:val="20"/>
          <w:szCs w:val="20"/>
          <w:b w:val="1"/>
          <w:bCs w:val="1"/>
          <w:color w:val="auto"/>
        </w:rPr>
        <w:t>PLEASE READ CAREFULLY. THIS SETTLEMENT AGREEMENT AND RELEASE OF CLAIMS INCLUDES A RELEASE OF ALL KNOWN AND UNKNOWN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176135" cy="1873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7176135" cy="187388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AGREED AND UNDERSTOOD: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8/30/2024</w:t>
            </w:r>
          </w:p>
        </w:tc>
        <w:tc>
          <w:tcPr>
            <w:tcW w:w="9200" w:type="dxa"/>
            <w:vAlign w:val="bottom"/>
            <w:gridSpan w:val="5"/>
          </w:tcPr>
          <w:p>
            <w:pPr>
              <w:ind w:left="5220"/>
              <w:spacing w:after="0"/>
              <w:rPr>
                <w:sz w:val="20"/>
                <w:szCs w:val="20"/>
                <w:color w:val="auto"/>
              </w:rPr>
            </w:pPr>
            <w:r>
              <w:rPr>
                <w:rFonts w:ascii="Times New Roman" w:cs="Times New Roman" w:eastAsia="Times New Roman" w:hAnsi="Times New Roman"/>
                <w:sz w:val="20"/>
                <w:szCs w:val="20"/>
                <w:b w:val="1"/>
                <w:bCs w:val="1"/>
                <w:color w:val="auto"/>
              </w:rPr>
              <w:t xml:space="preserve">By: </w:t>
            </w:r>
            <w:r>
              <w:rPr>
                <w:rFonts w:ascii="Times New Roman" w:cs="Times New Roman" w:eastAsia="Times New Roman" w:hAnsi="Times New Roman"/>
                <w:sz w:val="20"/>
                <w:szCs w:val="20"/>
                <w:color w:val="auto"/>
              </w:rPr>
              <w:t>/s/ Deeksha Hebbar</w:t>
            </w:r>
          </w:p>
        </w:tc>
      </w:tr>
      <w:tr>
        <w:trPr>
          <w:trHeight w:val="251"/>
        </w:trPr>
        <w:tc>
          <w:tcPr>
            <w:tcW w:w="7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55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8"/>
              </w:rPr>
              <w:t>Deeksha Hebbar</w:t>
            </w:r>
          </w:p>
        </w:tc>
        <w:tc>
          <w:tcPr>
            <w:tcW w:w="1500" w:type="dxa"/>
            <w:vAlign w:val="bottom"/>
          </w:tcPr>
          <w:p>
            <w:pPr>
              <w:spacing w:after="0"/>
              <w:rPr>
                <w:sz w:val="21"/>
                <w:szCs w:val="2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1"/>
        </w:trPr>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3"/>
          </w:tcPr>
          <w:p>
            <w:pPr>
              <w:jc w:val="center"/>
              <w:ind w:right="1860"/>
              <w:spacing w:after="0"/>
              <w:rPr>
                <w:sz w:val="20"/>
                <w:szCs w:val="20"/>
                <w:color w:val="auto"/>
              </w:rPr>
            </w:pPr>
            <w:r>
              <w:rPr>
                <w:rFonts w:ascii="Times New Roman" w:cs="Times New Roman" w:eastAsia="Times New Roman" w:hAnsi="Times New Roman"/>
                <w:sz w:val="20"/>
                <w:szCs w:val="20"/>
                <w:b w:val="1"/>
                <w:bCs w:val="1"/>
                <w:color w:val="auto"/>
                <w:w w:val="97"/>
              </w:rPr>
              <w:t>Sonder USA Inc.</w:t>
            </w:r>
          </w:p>
        </w:tc>
      </w:tr>
      <w:tr>
        <w:trPr>
          <w:trHeight w:val="611"/>
        </w:trPr>
        <w:tc>
          <w:tcPr>
            <w:tcW w:w="21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Dated: </w:t>
            </w:r>
            <w:r>
              <w:rPr>
                <w:rFonts w:ascii="Times New Roman" w:cs="Times New Roman" w:eastAsia="Times New Roman" w:hAnsi="Times New Roman"/>
                <w:sz w:val="20"/>
                <w:szCs w:val="20"/>
                <w:color w:val="auto"/>
              </w:rPr>
              <w:t>8/29/2024</w:t>
            </w:r>
          </w:p>
        </w:tc>
        <w:tc>
          <w:tcPr>
            <w:tcW w:w="9200" w:type="dxa"/>
            <w:vAlign w:val="bottom"/>
            <w:gridSpan w:val="5"/>
          </w:tcPr>
          <w:p>
            <w:pPr>
              <w:ind w:left="5240"/>
              <w:spacing w:after="0"/>
              <w:rPr>
                <w:sz w:val="20"/>
                <w:szCs w:val="20"/>
                <w:color w:val="auto"/>
              </w:rPr>
            </w:pPr>
            <w:r>
              <w:rPr>
                <w:rFonts w:ascii="Times New Roman" w:cs="Times New Roman" w:eastAsia="Times New Roman" w:hAnsi="Times New Roman"/>
                <w:sz w:val="20"/>
                <w:szCs w:val="20"/>
                <w:b w:val="1"/>
                <w:bCs w:val="1"/>
                <w:color w:val="auto"/>
              </w:rPr>
              <w:t xml:space="preserve">By: </w:t>
            </w:r>
            <w:r>
              <w:rPr>
                <w:rFonts w:ascii="Times New Roman" w:cs="Times New Roman" w:eastAsia="Times New Roman" w:hAnsi="Times New Roman"/>
                <w:sz w:val="20"/>
                <w:szCs w:val="20"/>
                <w:color w:val="auto"/>
              </w:rPr>
              <w:t>/a/ Bonnie Samuels</w:t>
            </w:r>
          </w:p>
        </w:tc>
      </w:tr>
      <w:tr>
        <w:trPr>
          <w:trHeight w:val="20"/>
        </w:trPr>
        <w:tc>
          <w:tcPr>
            <w:tcW w:w="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20"/>
        </w:trPr>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80" w:type="dxa"/>
            <w:vAlign w:val="bottom"/>
            <w:gridSpan w:val="3"/>
          </w:tcPr>
          <w:p>
            <w:pPr>
              <w:jc w:val="center"/>
              <w:ind w:left="5142"/>
              <w:spacing w:after="0" w:line="220" w:lineRule="exact"/>
              <w:rPr>
                <w:sz w:val="20"/>
                <w:szCs w:val="20"/>
                <w:color w:val="auto"/>
              </w:rPr>
            </w:pPr>
            <w:r>
              <w:rPr>
                <w:rFonts w:ascii="Times New Roman" w:cs="Times New Roman" w:eastAsia="Times New Roman" w:hAnsi="Times New Roman"/>
                <w:sz w:val="20"/>
                <w:szCs w:val="20"/>
                <w:b w:val="1"/>
                <w:bCs w:val="1"/>
                <w:color w:val="auto"/>
                <w:w w:val="97"/>
              </w:rPr>
              <w:t>Milkana “Bonnie” Samuels</w:t>
            </w:r>
          </w:p>
        </w:tc>
        <w:tc>
          <w:tcPr>
            <w:tcW w:w="1520" w:type="dxa"/>
            <w:vAlign w:val="bottom"/>
            <w:gridSpan w:val="2"/>
          </w:tcPr>
          <w:p>
            <w:pPr>
              <w:spacing w:after="0"/>
              <w:rPr>
                <w:sz w:val="19"/>
                <w:szCs w:val="19"/>
                <w:color w:val="auto"/>
              </w:rPr>
            </w:pPr>
          </w:p>
        </w:tc>
      </w:tr>
      <w:tr>
        <w:trPr>
          <w:trHeight w:val="259"/>
        </w:trPr>
        <w:tc>
          <w:tcPr>
            <w:tcW w:w="7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200" w:type="dxa"/>
            <w:vAlign w:val="bottom"/>
            <w:gridSpan w:val="5"/>
          </w:tcPr>
          <w:p>
            <w:pPr>
              <w:jc w:val="center"/>
              <w:ind w:left="3622"/>
              <w:spacing w:after="0"/>
              <w:rPr>
                <w:sz w:val="20"/>
                <w:szCs w:val="20"/>
                <w:color w:val="auto"/>
              </w:rPr>
            </w:pPr>
            <w:r>
              <w:rPr>
                <w:rFonts w:ascii="Times New Roman" w:cs="Times New Roman" w:eastAsia="Times New Roman" w:hAnsi="Times New Roman"/>
                <w:sz w:val="20"/>
                <w:szCs w:val="20"/>
                <w:b w:val="1"/>
                <w:bCs w:val="1"/>
                <w:color w:val="auto"/>
                <w:w w:val="96"/>
              </w:rPr>
              <w:t>Vice President, People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300"/>
          </w:cols>
          <w:pgMar w:left="300" w:top="1302" w:right="299" w:bottom="1440" w:gutter="0" w:footer="0" w:header="0"/>
        </w:sectPr>
      </w:pPr>
    </w:p>
    <w:bookmarkStart w:id="229" w:name="page230"/>
    <w:bookmarkEnd w:id="229"/>
    <w:p>
      <w:pPr>
        <w:spacing w:after="0" w:line="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SECOND GENERAL RELEASE AGREEMENT</w:t>
      </w:r>
    </w:p>
    <w:p>
      <w:pPr>
        <w:spacing w:after="0" w:line="199" w:lineRule="exact"/>
        <w:rPr>
          <w:sz w:val="20"/>
          <w:szCs w:val="20"/>
          <w:color w:val="auto"/>
        </w:rPr>
      </w:pPr>
    </w:p>
    <w:p>
      <w:pPr>
        <w:jc w:val="both"/>
        <w:ind w:left="4" w:hanging="1"/>
        <w:spacing w:after="0" w:line="285" w:lineRule="auto"/>
        <w:rPr>
          <w:sz w:val="20"/>
          <w:szCs w:val="20"/>
          <w:color w:val="auto"/>
        </w:rPr>
      </w:pPr>
      <w:r>
        <w:rPr>
          <w:rFonts w:ascii="Times New Roman" w:cs="Times New Roman" w:eastAsia="Times New Roman" w:hAnsi="Times New Roman"/>
          <w:sz w:val="20"/>
          <w:szCs w:val="20"/>
          <w:color w:val="auto"/>
        </w:rPr>
        <w:t xml:space="preserve">This SECOND GENERAL RELEASE AGREEMENT (the “Second General Release”) is entered into by and between </w:t>
      </w:r>
      <w:r>
        <w:rPr>
          <w:rFonts w:ascii="Times New Roman" w:cs="Times New Roman" w:eastAsia="Times New Roman" w:hAnsi="Times New Roman"/>
          <w:sz w:val="20"/>
          <w:szCs w:val="20"/>
          <w:b w:val="1"/>
          <w:bCs w:val="1"/>
          <w:color w:val="auto"/>
        </w:rPr>
        <w:t>Deeksha Hebbar</w:t>
      </w:r>
      <w:r>
        <w:rPr>
          <w:rFonts w:ascii="Times New Roman" w:cs="Times New Roman" w:eastAsia="Times New Roman" w:hAnsi="Times New Roman"/>
          <w:sz w:val="20"/>
          <w:szCs w:val="20"/>
          <w:color w:val="auto"/>
        </w:rPr>
        <w:t xml:space="preserve"> (“Employee”) and </w:t>
      </w:r>
      <w:r>
        <w:rPr>
          <w:rFonts w:ascii="Times New Roman" w:cs="Times New Roman" w:eastAsia="Times New Roman" w:hAnsi="Times New Roman"/>
          <w:sz w:val="20"/>
          <w:szCs w:val="20"/>
          <w:b w:val="1"/>
          <w:bCs w:val="1"/>
          <w:color w:val="auto"/>
        </w:rPr>
        <w:t>Sonder USA Inc.</w:t>
      </w:r>
      <w:r>
        <w:rPr>
          <w:rFonts w:ascii="Times New Roman" w:cs="Times New Roman" w:eastAsia="Times New Roman" w:hAnsi="Times New Roman"/>
          <w:sz w:val="20"/>
          <w:szCs w:val="20"/>
          <w:color w:val="auto"/>
        </w:rPr>
        <w:t xml:space="preserve"> (the “Company”) and collectively, the “Parties.”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99"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20"/>
          <w:szCs w:val="20"/>
          <w:color w:val="auto"/>
        </w:rPr>
        <w:t>Whereas, on __________________ the Parties entered into a SETTLEMENT AND GENERAL RELEASE AGREEMENT (“Separation</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Agreement”);</w:t>
      </w:r>
    </w:p>
    <w:p>
      <w:pPr>
        <w:spacing w:after="0" w:line="177" w:lineRule="exact"/>
        <w:rPr>
          <w:sz w:val="20"/>
          <w:szCs w:val="20"/>
          <w:color w:val="auto"/>
        </w:rPr>
      </w:pPr>
    </w:p>
    <w:p>
      <w:pPr>
        <w:jc w:val="both"/>
        <w:ind w:left="4" w:firstLine="258"/>
        <w:spacing w:after="0" w:line="281" w:lineRule="auto"/>
        <w:rPr>
          <w:sz w:val="20"/>
          <w:szCs w:val="20"/>
          <w:color w:val="auto"/>
        </w:rPr>
      </w:pPr>
      <w:r>
        <w:rPr>
          <w:rFonts w:ascii="Times New Roman" w:cs="Times New Roman" w:eastAsia="Times New Roman" w:hAnsi="Times New Roman"/>
          <w:sz w:val="20"/>
          <w:szCs w:val="20"/>
          <w:color w:val="auto"/>
        </w:rPr>
        <w:t>Whereas, Employee’s employment with the Company terminated on August 31, 2024 (“Termination Date”) and Employee’s service as a non-employee advisor to the Company under the Separation Agreement ended on August 31, 2025 (“Cessation Date”) and</w:t>
      </w:r>
    </w:p>
    <w:p>
      <w:pPr>
        <w:spacing w:after="0" w:line="135" w:lineRule="exact"/>
        <w:rPr>
          <w:sz w:val="20"/>
          <w:szCs w:val="20"/>
          <w:color w:val="auto"/>
        </w:rPr>
      </w:pPr>
    </w:p>
    <w:p>
      <w:pPr>
        <w:jc w:val="both"/>
        <w:ind w:left="4" w:firstLine="284"/>
        <w:spacing w:after="0" w:line="255" w:lineRule="auto"/>
        <w:rPr>
          <w:sz w:val="20"/>
          <w:szCs w:val="20"/>
          <w:color w:val="auto"/>
        </w:rPr>
      </w:pPr>
      <w:r>
        <w:rPr>
          <w:rFonts w:ascii="Times New Roman" w:cs="Times New Roman" w:eastAsia="Times New Roman" w:hAnsi="Times New Roman"/>
          <w:sz w:val="20"/>
          <w:szCs w:val="20"/>
          <w:color w:val="auto"/>
        </w:rPr>
        <w:t>The Parties are willingly and voluntarily entering into this Second General Release as contemplated by the Separation Agreement, and Employee has reviewed and understands the terms of this Second General Release. Terms not otherwise defined in this Second General Release shall have the meaning provided to them in the Separation Agreement.</w:t>
      </w:r>
    </w:p>
    <w:p>
      <w:pPr>
        <w:spacing w:after="0" w:line="161"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20"/>
          <w:szCs w:val="20"/>
          <w:u w:val="single" w:color="auto"/>
          <w:color w:val="auto"/>
        </w:rPr>
        <w:t>SECOND GENERAL RELEASE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IN CONSIDERATION of the promises and mutual covenants contained in this Second General Release, the Parties agree as follows:</w:t>
      </w:r>
    </w:p>
    <w:p>
      <w:pPr>
        <w:spacing w:after="0" w:line="211" w:lineRule="exact"/>
        <w:rPr>
          <w:sz w:val="20"/>
          <w:szCs w:val="20"/>
          <w:color w:val="auto"/>
        </w:rPr>
      </w:pPr>
    </w:p>
    <w:p>
      <w:pPr>
        <w:ind w:left="584" w:hanging="584"/>
        <w:spacing w:after="0"/>
        <w:tabs>
          <w:tab w:leader="none" w:pos="5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 Release Effective Date.</w:t>
      </w:r>
    </w:p>
    <w:p>
      <w:pPr>
        <w:spacing w:after="0" w:line="199" w:lineRule="exact"/>
        <w:rPr>
          <w:sz w:val="20"/>
          <w:szCs w:val="20"/>
          <w:color w:val="auto"/>
        </w:rPr>
      </w:pPr>
    </w:p>
    <w:p>
      <w:pPr>
        <w:ind w:left="4" w:hanging="1"/>
        <w:spacing w:after="0" w:line="268" w:lineRule="auto"/>
        <w:rPr>
          <w:sz w:val="20"/>
          <w:szCs w:val="20"/>
          <w:color w:val="auto"/>
        </w:rPr>
      </w:pPr>
      <w:r>
        <w:rPr>
          <w:rFonts w:ascii="Times New Roman" w:cs="Times New Roman" w:eastAsia="Times New Roman" w:hAnsi="Times New Roman"/>
          <w:sz w:val="20"/>
          <w:szCs w:val="20"/>
          <w:color w:val="auto"/>
        </w:rPr>
        <w:t>This Second General Release shall be effective on the eighth (8th) calendar day after Employee’s execution of this Second General Release (the “Second Release Effective Date”), provided Employee does not revoke acceptance pursuant to Section 5.</w:t>
      </w:r>
    </w:p>
    <w:p>
      <w:pPr>
        <w:spacing w:after="0" w:line="148" w:lineRule="exact"/>
        <w:rPr>
          <w:sz w:val="20"/>
          <w:szCs w:val="20"/>
          <w:color w:val="auto"/>
        </w:rPr>
      </w:pPr>
    </w:p>
    <w:p>
      <w:pPr>
        <w:ind w:left="584" w:hanging="584"/>
        <w:spacing w:after="0"/>
        <w:tabs>
          <w:tab w:leader="none" w:pos="5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p>
    <w:p>
      <w:pPr>
        <w:spacing w:after="0" w:line="199" w:lineRule="exact"/>
        <w:rPr>
          <w:sz w:val="20"/>
          <w:szCs w:val="20"/>
          <w:color w:val="auto"/>
        </w:rPr>
      </w:pPr>
    </w:p>
    <w:p>
      <w:pPr>
        <w:jc w:val="both"/>
        <w:ind w:left="4" w:hanging="1"/>
        <w:spacing w:after="0" w:line="281" w:lineRule="auto"/>
        <w:rPr>
          <w:sz w:val="20"/>
          <w:szCs w:val="20"/>
          <w:color w:val="auto"/>
        </w:rPr>
      </w:pPr>
      <w:r>
        <w:rPr>
          <w:rFonts w:ascii="Times New Roman" w:cs="Times New Roman" w:eastAsia="Times New Roman" w:hAnsi="Times New Roman"/>
          <w:sz w:val="20"/>
          <w:szCs w:val="20"/>
          <w:color w:val="auto"/>
        </w:rPr>
        <w:t>2.1.</w:t>
      </w:r>
      <w:r>
        <w:rPr>
          <w:sz w:val="20"/>
          <w:szCs w:val="20"/>
          <w:color w:val="auto"/>
        </w:rPr>
        <w:t xml:space="preserve"> </w:t>
      </w:r>
      <w:r>
        <w:rPr>
          <w:rFonts w:ascii="Times New Roman" w:cs="Times New Roman" w:eastAsia="Times New Roman" w:hAnsi="Times New Roman"/>
          <w:sz w:val="20"/>
          <w:szCs w:val="20"/>
          <w:color w:val="auto"/>
        </w:rPr>
        <w:t>In consideration of the promises made by Employee in the Separation Agreement and this Second General Release and upon the Second Release Effective Date, the Company shall provide to Employee the Second General Release Consideration.</w:t>
      </w:r>
    </w:p>
    <w:p>
      <w:pPr>
        <w:spacing w:after="0" w:line="135" w:lineRule="exact"/>
        <w:rPr>
          <w:sz w:val="20"/>
          <w:szCs w:val="20"/>
          <w:color w:val="auto"/>
        </w:rPr>
      </w:pPr>
    </w:p>
    <w:p>
      <w:pPr>
        <w:jc w:val="both"/>
        <w:ind w:left="4" w:hanging="1"/>
        <w:spacing w:after="0" w:line="252" w:lineRule="auto"/>
        <w:rPr>
          <w:sz w:val="20"/>
          <w:szCs w:val="20"/>
          <w:color w:val="auto"/>
        </w:rPr>
      </w:pPr>
      <w:r>
        <w:rPr>
          <w:rFonts w:ascii="Times New Roman" w:cs="Times New Roman" w:eastAsia="Times New Roman" w:hAnsi="Times New Roman"/>
          <w:sz w:val="20"/>
          <w:szCs w:val="20"/>
          <w:color w:val="auto"/>
        </w:rPr>
        <w:t>2.2.</w:t>
      </w:r>
      <w:r>
        <w:rPr>
          <w:sz w:val="20"/>
          <w:szCs w:val="20"/>
          <w:color w:val="auto"/>
        </w:rPr>
        <w:t xml:space="preserve"> </w:t>
      </w:r>
      <w:r>
        <w:rPr>
          <w:rFonts w:ascii="Times New Roman" w:cs="Times New Roman" w:eastAsia="Times New Roman" w:hAnsi="Times New Roman"/>
          <w:sz w:val="20"/>
          <w:szCs w:val="20"/>
          <w:color w:val="auto"/>
        </w:rPr>
        <w:t>Employee acknowledges and agrees that the Company has not made any representations or warranties regarding the tax consequences of any amounts paid or other consideration pursuant to this Second General Release. Employee is solely responsible for all tax reporting obligations and agrees to pay all local, state and federal income taxes, penalties, interest, fines or other assessment incurred or owed by Employee, if any, in connection with the Second General Release Consideration or this Second General Release. Employee agrees to indemnify and hold harmless the Company against any liabilities, assessment of taxes, penalties, interests, fines,</w:t>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4"/>
          </w:cols>
          <w:pgMar w:left="316" w:top="1440" w:right="339" w:bottom="1440" w:gutter="0" w:footer="0" w:header="0"/>
        </w:sectPr>
      </w:pPr>
    </w:p>
    <w:bookmarkStart w:id="230" w:name="page231"/>
    <w:bookmarkEnd w:id="230"/>
    <w:p>
      <w:pPr>
        <w:ind w:left="4"/>
        <w:spacing w:after="0"/>
        <w:rPr>
          <w:sz w:val="20"/>
          <w:szCs w:val="20"/>
          <w:color w:val="auto"/>
        </w:rPr>
      </w:pPr>
      <w:r>
        <w:rPr>
          <w:rFonts w:ascii="Times New Roman" w:cs="Times New Roman" w:eastAsia="Times New Roman" w:hAnsi="Times New Roman"/>
          <w:sz w:val="20"/>
          <w:szCs w:val="20"/>
          <w:color w:val="auto"/>
        </w:rPr>
        <w:t>costs and expenses, including attorneys’ fees, arising out of the Second General Release Consideration or this Second General Release.</w:t>
      </w:r>
    </w:p>
    <w:p>
      <w:pPr>
        <w:spacing w:after="0" w:line="199" w:lineRule="exact"/>
        <w:rPr>
          <w:sz w:val="20"/>
          <w:szCs w:val="20"/>
          <w:color w:val="auto"/>
        </w:rPr>
      </w:pPr>
    </w:p>
    <w:p>
      <w:pPr>
        <w:ind w:left="584" w:hanging="584"/>
        <w:spacing w:after="0"/>
        <w:tabs>
          <w:tab w:leader="none" w:pos="5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 General Release.</w:t>
      </w:r>
    </w:p>
    <w:p>
      <w:pPr>
        <w:spacing w:after="0" w:line="186" w:lineRule="exact"/>
        <w:rPr>
          <w:sz w:val="20"/>
          <w:szCs w:val="20"/>
          <w:color w:val="auto"/>
        </w:rPr>
      </w:pPr>
    </w:p>
    <w:p>
      <w:pPr>
        <w:jc w:val="both"/>
        <w:ind w:left="4" w:right="20" w:hanging="1"/>
        <w:spacing w:after="0" w:line="251" w:lineRule="auto"/>
        <w:rPr>
          <w:sz w:val="20"/>
          <w:szCs w:val="20"/>
          <w:color w:val="auto"/>
        </w:rPr>
      </w:pPr>
      <w:r>
        <w:rPr>
          <w:rFonts w:ascii="Times New Roman" w:cs="Times New Roman" w:eastAsia="Times New Roman" w:hAnsi="Times New Roman"/>
          <w:sz w:val="20"/>
          <w:szCs w:val="20"/>
          <w:color w:val="auto"/>
        </w:rPr>
        <w:t>3.1.</w:t>
      </w:r>
      <w:r>
        <w:rPr>
          <w:sz w:val="20"/>
          <w:szCs w:val="20"/>
          <w:color w:val="auto"/>
        </w:rPr>
        <w:t xml:space="preserve"> </w:t>
      </w:r>
      <w:r>
        <w:rPr>
          <w:rFonts w:ascii="Times New Roman" w:cs="Times New Roman" w:eastAsia="Times New Roman" w:hAnsi="Times New Roman"/>
          <w:sz w:val="19"/>
          <w:szCs w:val="19"/>
          <w:color w:val="auto"/>
        </w:rPr>
        <w:t>Except as otherwise stated in this Second General Release, and in consideration for all of the promises and covenants herein, including but not limited to the Second General Release Consideration, Employee acknowledges and agrees that Employee has actual bona fide disputes with the Company that are released by this Second General Release, including without limitation disputes as to wage and hour claims, and knowingly and voluntarily releases and forever discharges the Company, its parent, subsidiary, related, affiliated, predecessor, and successor companies/entities, and each of their respective past, present and future principals, owners, stockholders, partners, members, directors, officers, joint venturers, joint employers, alter-egos, affiliates, fiduciaries, trustees, employees, servants, contractors, agents, attorneys, insurers, assigns, and representatives (the “Released Parties”) from all actions, suits, claims, controversies, disputes, demands, liabilities, grievances, charges, injuries, losses, damages, monies, injunctive relief, arbitrations, judgments, awards, orders, executions, attorney’s fees, debts, interest, expenses and costs, and other legal responsibilities, of any form or nature whatsoever, and/or any causes of action of whatever kind or character, whether known or unknown, suspected or unsuspected, unforeseen, unanticipated, unsuspected, or latent, which Employee (or Employee’s predecessors, successors, assigns, representatives, or authorized agents) ever had, now has, or which Employee’s heirs, assigns, executors or administrators hereafter can, shall or may have, arising out of or relating in any way to any acts, circumstances, facts, transactions, omissions, or other subject matters, based on facts occurring prior to the time Employee executes this Second General Release (“Released Claims”).</w:t>
      </w:r>
    </w:p>
    <w:p>
      <w:pPr>
        <w:spacing w:after="0" w:line="152" w:lineRule="exact"/>
        <w:rPr>
          <w:sz w:val="20"/>
          <w:szCs w:val="20"/>
          <w:color w:val="auto"/>
        </w:rPr>
      </w:pPr>
    </w:p>
    <w:p>
      <w:pPr>
        <w:jc w:val="both"/>
        <w:ind w:left="4" w:hanging="1"/>
        <w:spacing w:after="0" w:line="237" w:lineRule="auto"/>
        <w:rPr>
          <w:sz w:val="20"/>
          <w:szCs w:val="20"/>
          <w:color w:val="auto"/>
        </w:rPr>
      </w:pPr>
      <w:r>
        <w:rPr>
          <w:rFonts w:ascii="Times New Roman" w:cs="Times New Roman" w:eastAsia="Times New Roman" w:hAnsi="Times New Roman"/>
          <w:sz w:val="20"/>
          <w:szCs w:val="20"/>
          <w:color w:val="auto"/>
        </w:rPr>
        <w:t>3.2.</w:t>
      </w:r>
      <w:r>
        <w:rPr>
          <w:sz w:val="20"/>
          <w:szCs w:val="20"/>
          <w:color w:val="auto"/>
        </w:rPr>
        <w:t xml:space="preserve"> </w:t>
      </w:r>
      <w:r>
        <w:rPr>
          <w:rFonts w:ascii="Times New Roman" w:cs="Times New Roman" w:eastAsia="Times New Roman" w:hAnsi="Times New Roman"/>
          <w:sz w:val="20"/>
          <w:szCs w:val="20"/>
          <w:color w:val="auto"/>
        </w:rPr>
        <w:t>The Released Claims include, but are not limited to, any claims, causes of action, rights, actions, suits, charges, or disputes that have been or could be asserted against any of the Released Parties arising out of, in connection with, or in any way related to (a) Employee’s application for employment with the Company, relationship or employment or post-employment non-employee services with the Company and/or the termination of Employee’s relationship or employment or non-employee advisor services with the Company; (b) any term or condition of Employee’s relationship or employment or services with the Company, including but not limited to any and all wages, compensation, salaries, minimum wage, overtime, holiday pay, bonuses, commissions, pay, allowances, monies, meal and rest period violations or premiums, off the clock work, expenses/reimbursements, wage statements, employee benefits, sick/vacation pay, sick leave, severance pay, retention pay, paid leave benefits, notification rights, any other wage and hour related claims, and any other benefits, penalties, interest, damages, and promises related to the same; and (c) except as expressly enumerated in the Separation Agreement, any claims to any equity interest in the Company or SHI, including without limitation stock options, shadow stock, restricted stock, membership units, distribution rights, partnership, stock, and all other forms of equity. Without limiting the foregoing, and by way of examples only, the Released Claims also extend to any and all claims for alleged (a) violation of the National Labor Relations Act (NLRA) (to the extent permitted by law), Title VII of the Civil Rights Act (Title VII), the Americans With Disabilities Act of 1990 (ADA), the Age Discrimination in Employment Act (ADEA), the Older Worker Benefit Protection Act (OWBPA), the Employee Retirement Income Security Act (excluding vested benefits) (ERISA); the Rehabilitation Act, the Occupational</w:t>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64"/>
          </w:cols>
          <w:pgMar w:left="316" w:top="1302" w:right="319" w:bottom="1440" w:gutter="0" w:footer="0" w:header="0"/>
        </w:sectPr>
      </w:pPr>
    </w:p>
    <w:bookmarkStart w:id="231" w:name="page232"/>
    <w:bookmarkEnd w:id="231"/>
    <w:p>
      <w:pPr>
        <w:jc w:val="both"/>
        <w:ind w:left="2"/>
        <w:spacing w:after="0" w:line="249" w:lineRule="auto"/>
        <w:rPr>
          <w:sz w:val="20"/>
          <w:szCs w:val="20"/>
          <w:color w:val="auto"/>
        </w:rPr>
      </w:pPr>
      <w:r>
        <w:rPr>
          <w:rFonts w:ascii="Times New Roman" w:cs="Times New Roman" w:eastAsia="Times New Roman" w:hAnsi="Times New Roman"/>
          <w:sz w:val="19"/>
          <w:szCs w:val="19"/>
          <w:color w:val="auto"/>
        </w:rPr>
        <w:t>Safety and Health Act (OSHA) (federal and California), the American Rescue Plan Act (ARPA), the Families First Coronavirus Response Act (FFCRA), the Fair Labor Standards Act (FLSA), the Family and Medical Leave Act (FMLA), the California Family Rights Act (CFRA), the Worker Adjustment and Retraining Notification Act (federal and California), the California Fair Employment and Housing Act (FEHA), the Unfair Business Practices Act/Unfair Competition Law (UCL); the California Labor Code, the California Government Code, the California Civil Code, the applicable California Wage Order(s), and the California Private Attorneys General Act (to the extent permitted by law) (all as amended); (b) discrimination or harassment on the basis of any protected status, such as race, color, ancestry, national origin (including language use restrictions), natural hair, citizenship, religious creed (including religious dress and grooming practices), sex (which includes pregnancy, childbirth, lactation and medical conditions related to pregnancy, childbirth or lactation), marital status, domestic partnership status, sexual orientation, gender, gender identity, gender expression, veteran status, military status, political affiliation, family care or medical leave status or the denial of family and medical care leave, age, physical or mental disability (including HIV and AIDS), medical condition (including cancer and genetic characteristics), genetic information, or any other basis protected by applicable federal, state or local law, rule, ordinance or regulation; (c) any whistleblower or retaliation claims on the basis of any protected activity or other protected basis; (d) breach of any express or implied promise, contract or agreement (express or implied), or breach of the implied covenant of good faith and fair dealing;</w:t>
      </w:r>
    </w:p>
    <w:p>
      <w:pPr>
        <w:spacing w:after="0" w:line="2" w:lineRule="exact"/>
        <w:rPr>
          <w:sz w:val="20"/>
          <w:szCs w:val="20"/>
          <w:color w:val="auto"/>
        </w:rPr>
      </w:pPr>
    </w:p>
    <w:p>
      <w:pPr>
        <w:jc w:val="both"/>
        <w:ind w:left="2" w:hanging="2"/>
        <w:spacing w:after="0" w:line="249" w:lineRule="auto"/>
        <w:tabs>
          <w:tab w:leader="none" w:pos="283"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tort or common law claims, including wrongful discharge, intentional or negligent infliction of emotional distress, negligence, fraud, misrepresentation, defamation, interference with prospective economic advantage, or other tort or common law actions; (f) claims for misclassification, wage and hour, or other claims related to hours, conditions, or compensation related to work; and (g) any other violation of local, state, or federal law, constitution, statute, regulation, ordinance, order, guidance, resolution, public policy, contract, or tort or common law claim, whether for legal or equitable relief, having any bearing whatsoever on the terms and conditions of employment, or association or working relationship, with any of the Released Parties, including but not limited to any allegations for penalties, interest, costs and fees, including attorneys’ fees, incurred in any of these matters, which Employee ever had, now has, or may have as of the date of this release. All such claims, liabilities or causes of action (including, without limitation, claims for related attorneys’ fees and costs) are forever barred by this Second General Release regardless of the forum in which they may be brought. The Parties intend for this release to be as broad as possible.</w:t>
      </w:r>
    </w:p>
    <w:p>
      <w:pPr>
        <w:spacing w:after="0" w:line="166" w:lineRule="exact"/>
        <w:rPr>
          <w:sz w:val="20"/>
          <w:szCs w:val="20"/>
          <w:color w:val="auto"/>
        </w:rPr>
      </w:pPr>
    </w:p>
    <w:p>
      <w:pPr>
        <w:jc w:val="both"/>
        <w:ind w:left="2" w:hanging="1"/>
        <w:spacing w:after="0" w:line="237" w:lineRule="auto"/>
        <w:rPr>
          <w:sz w:val="20"/>
          <w:szCs w:val="20"/>
          <w:color w:val="auto"/>
        </w:rPr>
      </w:pPr>
      <w:r>
        <w:rPr>
          <w:rFonts w:ascii="Times New Roman" w:cs="Times New Roman" w:eastAsia="Times New Roman" w:hAnsi="Times New Roman"/>
          <w:sz w:val="20"/>
          <w:szCs w:val="20"/>
          <w:color w:val="auto"/>
        </w:rPr>
        <w:t>3.3.</w:t>
      </w:r>
      <w:r>
        <w:rPr>
          <w:sz w:val="20"/>
          <w:szCs w:val="20"/>
          <w:color w:val="auto"/>
        </w:rPr>
        <w:t xml:space="preserve"> </w:t>
      </w:r>
      <w:r>
        <w:rPr>
          <w:rFonts w:ascii="Times New Roman" w:cs="Times New Roman" w:eastAsia="Times New Roman" w:hAnsi="Times New Roman"/>
          <w:sz w:val="20"/>
          <w:szCs w:val="20"/>
          <w:color w:val="auto"/>
        </w:rPr>
        <w:t>Notwithstanding the foregoing, Employee does not waive or release any claim which cannot be waived or released by private agreement. Further, nothing in this Second General Release shall prevent Employee from filing a charge or complaint with, or from participating in, an investigation or proceeding conducted by the SEC, OSHA, EEOC, California Civil Rights Department (“CRD”, formerly known as DFEH), NLRB or any other federal, state or local agency charged with the enforcement of any employment or other applicable laws. Employee, however, understands that by signing this Second General Release, Employee waives the right to recover any damages or to receive other relief in any claim or suit brought by or through the EEOC, the CRD or any other state or local deferral agency on Employee’s behalf to the fullest extent permitted by law, but expressly excluding any monetary award or other relief available from the SEC/OSHA, including an SEC/OSHA whistleblower award, or other awards or relief that may not lawfully be waived.</w:t>
      </w:r>
    </w:p>
    <w:p>
      <w:pPr>
        <w:spacing w:after="0" w:line="200" w:lineRule="exact"/>
        <w:rPr>
          <w:sz w:val="20"/>
          <w:szCs w:val="20"/>
          <w:color w:val="auto"/>
        </w:rPr>
      </w:pPr>
    </w:p>
    <w:p>
      <w:pPr>
        <w:spacing w:after="0" w:line="3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2"/>
          </w:cols>
          <w:pgMar w:left="318" w:top="1290" w:right="339" w:bottom="1440" w:gutter="0" w:footer="0" w:header="0"/>
        </w:sectPr>
      </w:pPr>
    </w:p>
    <w:bookmarkStart w:id="232" w:name="page233"/>
    <w:bookmarkEnd w:id="232"/>
    <w:p>
      <w:pPr>
        <w:jc w:val="both"/>
        <w:ind w:hanging="1"/>
        <w:spacing w:after="0" w:line="242" w:lineRule="auto"/>
        <w:rPr>
          <w:sz w:val="20"/>
          <w:szCs w:val="20"/>
          <w:color w:val="auto"/>
        </w:rPr>
      </w:pPr>
      <w:r>
        <w:rPr>
          <w:rFonts w:ascii="Times New Roman" w:cs="Times New Roman" w:eastAsia="Times New Roman" w:hAnsi="Times New Roman"/>
          <w:sz w:val="20"/>
          <w:szCs w:val="20"/>
          <w:color w:val="auto"/>
        </w:rPr>
        <w:t>3.4.</w:t>
      </w:r>
      <w:r>
        <w:rPr>
          <w:sz w:val="20"/>
          <w:szCs w:val="20"/>
          <w:color w:val="auto"/>
        </w:rPr>
        <w:t xml:space="preserve"> </w:t>
      </w:r>
      <w:r>
        <w:rPr>
          <w:rFonts w:ascii="Times New Roman" w:cs="Times New Roman" w:eastAsia="Times New Roman" w:hAnsi="Times New Roman"/>
          <w:sz w:val="20"/>
          <w:szCs w:val="20"/>
          <w:u w:val="single" w:color="auto"/>
          <w:color w:val="auto"/>
        </w:rPr>
        <w:t xml:space="preserve">Unknown Claims. </w:t>
      </w:r>
      <w:r>
        <w:rPr>
          <w:rFonts w:ascii="Times New Roman" w:cs="Times New Roman" w:eastAsia="Times New Roman" w:hAnsi="Times New Roman"/>
          <w:sz w:val="20"/>
          <w:szCs w:val="20"/>
          <w:color w:val="auto"/>
        </w:rPr>
        <w:t>It is a condition of this Second General Release, and it is the Parties’ intention by executing this Second General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Release, that the release of claims contained in this Second General Release shall be effective as a bar to each and every claim, whether now known or unknown. As such, Employee expressly, knowingly and voluntarily waives any and all rights and benefits conferred by section 1542 of the California Civil Code and does so understanding and acknowledging the significance and consequence of such specific waiver of section 1542, which provides:</w:t>
      </w:r>
    </w:p>
    <w:p>
      <w:pPr>
        <w:spacing w:after="0" w:line="159" w:lineRule="exact"/>
        <w:rPr>
          <w:sz w:val="20"/>
          <w:szCs w:val="20"/>
          <w:color w:val="auto"/>
        </w:rPr>
      </w:pPr>
    </w:p>
    <w:p>
      <w:pPr>
        <w:jc w:val="both"/>
        <w:ind w:left="780" w:right="1180"/>
        <w:spacing w:after="0" w:line="261" w:lineRule="auto"/>
        <w:rPr>
          <w:sz w:val="20"/>
          <w:szCs w:val="20"/>
          <w:color w:val="auto"/>
        </w:rPr>
      </w:pPr>
      <w:r>
        <w:rPr>
          <w:rFonts w:ascii="Times New Roman" w:cs="Times New Roman" w:eastAsia="Times New Roman" w:hAnsi="Times New Roman"/>
          <w:sz w:val="19"/>
          <w:szCs w:val="19"/>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58" w:lineRule="exact"/>
        <w:rPr>
          <w:sz w:val="20"/>
          <w:szCs w:val="20"/>
          <w:color w:val="auto"/>
        </w:rPr>
      </w:pPr>
    </w:p>
    <w:p>
      <w:pPr>
        <w:jc w:val="both"/>
        <w:ind w:right="20" w:hanging="1"/>
        <w:spacing w:after="0" w:line="255" w:lineRule="auto"/>
        <w:rPr>
          <w:sz w:val="20"/>
          <w:szCs w:val="20"/>
          <w:color w:val="auto"/>
        </w:rPr>
      </w:pPr>
      <w:r>
        <w:rPr>
          <w:rFonts w:ascii="Times New Roman" w:cs="Times New Roman" w:eastAsia="Times New Roman" w:hAnsi="Times New Roman"/>
          <w:sz w:val="20"/>
          <w:szCs w:val="20"/>
          <w:color w:val="auto"/>
        </w:rPr>
        <w:t>3.5.</w:t>
      </w:r>
      <w:r>
        <w:rPr>
          <w:sz w:val="20"/>
          <w:szCs w:val="20"/>
          <w:color w:val="auto"/>
        </w:rPr>
        <w:t xml:space="preserve"> </w:t>
      </w:r>
      <w:r>
        <w:rPr>
          <w:rFonts w:ascii="Times New Roman" w:cs="Times New Roman" w:eastAsia="Times New Roman" w:hAnsi="Times New Roman"/>
          <w:sz w:val="20"/>
          <w:szCs w:val="20"/>
          <w:color w:val="auto"/>
        </w:rPr>
        <w:t>To the extent the release set forth in this Second General Release expressly extends to Released Parties that are not signatories to this Second General Release, it is expressly declared to be for their benefit and use.</w:t>
      </w:r>
    </w:p>
    <w:p>
      <w:pPr>
        <w:spacing w:after="0" w:line="148" w:lineRule="exact"/>
        <w:rPr>
          <w:sz w:val="20"/>
          <w:szCs w:val="20"/>
          <w:color w:val="auto"/>
        </w:rPr>
      </w:pPr>
    </w:p>
    <w:p>
      <w:pPr>
        <w:jc w:val="both"/>
        <w:ind w:right="20" w:hanging="1"/>
        <w:spacing w:after="0"/>
        <w:rPr>
          <w:sz w:val="20"/>
          <w:szCs w:val="20"/>
          <w:color w:val="auto"/>
        </w:rPr>
      </w:pPr>
      <w:r>
        <w:rPr>
          <w:rFonts w:ascii="Times New Roman" w:cs="Times New Roman" w:eastAsia="Times New Roman" w:hAnsi="Times New Roman"/>
          <w:sz w:val="20"/>
          <w:szCs w:val="20"/>
          <w:color w:val="auto"/>
        </w:rPr>
        <w:t>3.6.</w:t>
      </w:r>
      <w:r>
        <w:rPr>
          <w:sz w:val="20"/>
          <w:szCs w:val="20"/>
          <w:color w:val="auto"/>
        </w:rPr>
        <w:t xml:space="preserve"> </w:t>
      </w:r>
      <w:r>
        <w:rPr>
          <w:rFonts w:ascii="Times New Roman" w:cs="Times New Roman" w:eastAsia="Times New Roman" w:hAnsi="Times New Roman"/>
          <w:sz w:val="20"/>
          <w:szCs w:val="20"/>
          <w:color w:val="auto"/>
        </w:rPr>
        <w:t>Employee warrants and agrees that Employee shall not and has not filed any claims, causes of action or complaints against the Company or any of the Released Parties that relate to any actions or conduct occurring prior to the execution of this Second General Release, except for any such claims that cannot be waived in a private agreement. Employee agrees that if they do file such court action the Company shall be entitled to terminate the Second General Release Consideration and that any extension of stock options already provided under this Second General Release, if any, shall constitute full and complete consideration for Employee’s release of claims under this Second General Release.</w:t>
      </w:r>
    </w:p>
    <w:p>
      <w:pPr>
        <w:spacing w:after="0" w:line="175" w:lineRule="exact"/>
        <w:rPr>
          <w:sz w:val="20"/>
          <w:szCs w:val="20"/>
          <w:color w:val="auto"/>
        </w:rPr>
      </w:pPr>
    </w:p>
    <w:p>
      <w:pPr>
        <w:jc w:val="both"/>
        <w:ind w:hanging="1"/>
        <w:spacing w:after="0" w:line="236" w:lineRule="auto"/>
        <w:rPr>
          <w:sz w:val="20"/>
          <w:szCs w:val="20"/>
          <w:color w:val="auto"/>
        </w:rPr>
      </w:pPr>
      <w:r>
        <w:rPr>
          <w:rFonts w:ascii="Times New Roman" w:cs="Times New Roman" w:eastAsia="Times New Roman" w:hAnsi="Times New Roman"/>
          <w:sz w:val="20"/>
          <w:szCs w:val="20"/>
          <w:color w:val="auto"/>
        </w:rPr>
        <w:t>3.7.</w:t>
      </w:r>
      <w:r>
        <w:rPr>
          <w:sz w:val="20"/>
          <w:szCs w:val="20"/>
          <w:color w:val="auto"/>
        </w:rPr>
        <w:t xml:space="preserve"> </w:t>
      </w:r>
      <w:r>
        <w:rPr>
          <w:rFonts w:ascii="Times New Roman" w:cs="Times New Roman" w:eastAsia="Times New Roman" w:hAnsi="Times New Roman"/>
          <w:sz w:val="20"/>
          <w:szCs w:val="20"/>
          <w:color w:val="auto"/>
        </w:rPr>
        <w:t>This Second General Release is expressly conditioned upon Employee’s covenant not to file any claim against the Company or its owners, officers, directors, employees, or any of the Released Parties. Employee agrees not to sue any of the Released Parties or become a party to a lawsuit, whether in an individual or representative capacity, on the basis of any claims of any type that arise out of any aspect of Employee’s employment or termination of employment with the Company or post-service to the Company as a non-employee advisor or any other matter up through the date Employee executes this Second General Release. Employee understands that this is an affirmative promise by Employee not to sue any of the Released Parties, which is in addition to Employee’s general release of claims. If Employee (whether individually or jointly) breaches this Second General Release by suing any of the Released Parties in violation of this Covenant Not to Sue, Employee understands that (i) the Released Parties will be entitled to apply for and receive an injunction to restrain any violation of this Second General Release; (ii) Employee will be required to pay the Released Parties’ legal costs and expenses, including reasonable attorney fees, associated with defending against any such lawsuit and enforcing the terms of this Second General Release; and (iii) the Company shall be entitled to cease any further payments or benefits to Employee in which event Employee agrees that the payments or benefits already made under this Second General Release, if any, shall constitute full and complete consideration for Employee’s release of claims; provided, however, that this section will not apply to any lawsuit necessary to enforce the terms of this Second General Release.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60"/>
          </w:cols>
          <w:pgMar w:left="320" w:top="1290" w:right="319" w:bottom="1440" w:gutter="0" w:footer="0" w:header="0"/>
        </w:sectPr>
      </w:pPr>
    </w:p>
    <w:bookmarkStart w:id="233" w:name="page234"/>
    <w:bookmarkEnd w:id="233"/>
    <w:p>
      <w:pPr>
        <w:ind w:left="584" w:hanging="584"/>
        <w:spacing w:after="0"/>
        <w:tabs>
          <w:tab w:leader="none" w:pos="5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99" w:lineRule="exact"/>
        <w:rPr>
          <w:sz w:val="20"/>
          <w:szCs w:val="20"/>
          <w:color w:val="auto"/>
        </w:rPr>
      </w:pPr>
    </w:p>
    <w:p>
      <w:pPr>
        <w:jc w:val="both"/>
        <w:ind w:left="4" w:right="20" w:hanging="1"/>
        <w:spacing w:after="0" w:line="255" w:lineRule="auto"/>
        <w:rPr>
          <w:sz w:val="20"/>
          <w:szCs w:val="20"/>
          <w:color w:val="auto"/>
        </w:rPr>
      </w:pPr>
      <w:r>
        <w:rPr>
          <w:rFonts w:ascii="Times New Roman" w:cs="Times New Roman" w:eastAsia="Times New Roman" w:hAnsi="Times New Roman"/>
          <w:sz w:val="20"/>
          <w:szCs w:val="20"/>
          <w:color w:val="auto"/>
        </w:rPr>
        <w:t>4.1.</w:t>
      </w:r>
      <w:r>
        <w:rPr>
          <w:sz w:val="20"/>
          <w:szCs w:val="20"/>
          <w:color w:val="auto"/>
        </w:rPr>
        <w:t xml:space="preserve"> </w:t>
      </w:r>
      <w:r>
        <w:rPr>
          <w:rFonts w:ascii="Times New Roman" w:cs="Times New Roman" w:eastAsia="Times New Roman" w:hAnsi="Times New Roman"/>
          <w:sz w:val="20"/>
          <w:szCs w:val="20"/>
          <w:color w:val="auto"/>
        </w:rPr>
        <w:t>Counterparts and Signatures: This Second General Release may be executed in two or more counterparts, each of which shall be deemed an original, but all of which shall constitute one and the same written instrument. The Parties agree that electronic, fax or other copies of the Parties’ and other signatures on this Second General Release are binding and admissible to the same extent that they would be if they were original signatures.</w:t>
      </w:r>
    </w:p>
    <w:p>
      <w:pPr>
        <w:spacing w:after="0" w:line="161" w:lineRule="exact"/>
        <w:rPr>
          <w:sz w:val="20"/>
          <w:szCs w:val="20"/>
          <w:color w:val="auto"/>
        </w:rPr>
      </w:pPr>
    </w:p>
    <w:p>
      <w:pPr>
        <w:jc w:val="both"/>
        <w:ind w:left="4" w:right="20" w:hanging="1"/>
        <w:spacing w:after="0" w:line="252" w:lineRule="auto"/>
        <w:rPr>
          <w:sz w:val="20"/>
          <w:szCs w:val="20"/>
          <w:color w:val="auto"/>
        </w:rPr>
      </w:pPr>
      <w:r>
        <w:rPr>
          <w:rFonts w:ascii="Times New Roman" w:cs="Times New Roman" w:eastAsia="Times New Roman" w:hAnsi="Times New Roman"/>
          <w:sz w:val="20"/>
          <w:szCs w:val="20"/>
          <w:color w:val="auto"/>
        </w:rPr>
        <w:t>4.2.</w:t>
      </w:r>
      <w:r>
        <w:rPr>
          <w:sz w:val="20"/>
          <w:szCs w:val="20"/>
          <w:color w:val="auto"/>
        </w:rPr>
        <w:t xml:space="preserve"> </w:t>
      </w:r>
      <w:r>
        <w:rPr>
          <w:rFonts w:ascii="Times New Roman" w:cs="Times New Roman" w:eastAsia="Times New Roman" w:hAnsi="Times New Roman"/>
          <w:sz w:val="20"/>
          <w:szCs w:val="20"/>
          <w:color w:val="auto"/>
        </w:rPr>
        <w:t>Successors in Interest: This Second General Release shall be binding upon the Parties and upon their heirs, administrators, representatives, executors, successors, and assigns, and shall inure to the benefit of the Parties and each of them and to their heirs, administrators, representatives, executors, successors, and assigns. Employee expressly warrants that Employee has not transferred to any person or entity any rights, causes of action, or claims released in this Second General Release, and that Employee is fully empowered to enter into this Second General Release.</w:t>
      </w:r>
    </w:p>
    <w:p>
      <w:pPr>
        <w:spacing w:after="0" w:line="164" w:lineRule="exact"/>
        <w:rPr>
          <w:sz w:val="20"/>
          <w:szCs w:val="20"/>
          <w:color w:val="auto"/>
        </w:rPr>
      </w:pPr>
    </w:p>
    <w:p>
      <w:pPr>
        <w:jc w:val="both"/>
        <w:ind w:left="4" w:hanging="1"/>
        <w:spacing w:after="0" w:line="250" w:lineRule="auto"/>
        <w:rPr>
          <w:sz w:val="20"/>
          <w:szCs w:val="20"/>
          <w:color w:val="auto"/>
        </w:rPr>
      </w:pPr>
      <w:r>
        <w:rPr>
          <w:rFonts w:ascii="Times New Roman" w:cs="Times New Roman" w:eastAsia="Times New Roman" w:hAnsi="Times New Roman"/>
          <w:sz w:val="20"/>
          <w:szCs w:val="20"/>
          <w:color w:val="auto"/>
        </w:rPr>
        <w:t>4.3.</w:t>
      </w:r>
      <w:r>
        <w:rPr>
          <w:sz w:val="20"/>
          <w:szCs w:val="20"/>
          <w:color w:val="auto"/>
        </w:rPr>
        <w:t xml:space="preserve"> </w:t>
      </w:r>
      <w:r>
        <w:rPr>
          <w:rFonts w:ascii="Times New Roman" w:cs="Times New Roman" w:eastAsia="Times New Roman" w:hAnsi="Times New Roman"/>
          <w:sz w:val="20"/>
          <w:szCs w:val="20"/>
          <w:color w:val="auto"/>
        </w:rPr>
        <w:t>Governing Law and Interpretation: This Second General Release shall be governed by, interpreted under and enforced under the laws of the state of California and venue shall be deemed to be in San Francisco County in the state of California. The Parties have jointly participated in the negotiation and drafting of this Second General Release. The Second General Release shall be interpreted in accordance with the plain meaning of its terms. In the event of an ambiguity or a question of intent arises, this Second General Release shall be construed as if drafted jointly by each of the Parties hereto and no presumptions or burdens of proof shall arise favoring any party by virtue of authorship of any of the provisions of this Second General Release.</w:t>
      </w:r>
    </w:p>
    <w:p>
      <w:pPr>
        <w:spacing w:after="0" w:line="167"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Amendment: This Second General Release may not be modified, altered or changed, except upon express written consent of the Parties.</w:t>
      </w:r>
    </w:p>
    <w:p>
      <w:pPr>
        <w:spacing w:after="0" w:line="199" w:lineRule="exact"/>
        <w:rPr>
          <w:sz w:val="20"/>
          <w:szCs w:val="20"/>
          <w:color w:val="auto"/>
        </w:rPr>
      </w:pPr>
    </w:p>
    <w:p>
      <w:pPr>
        <w:jc w:val="both"/>
        <w:ind w:left="4" w:hanging="1"/>
        <w:spacing w:after="0" w:line="261" w:lineRule="auto"/>
        <w:rPr>
          <w:sz w:val="20"/>
          <w:szCs w:val="20"/>
          <w:color w:val="auto"/>
        </w:rPr>
      </w:pPr>
      <w:r>
        <w:rPr>
          <w:rFonts w:ascii="Times New Roman" w:cs="Times New Roman" w:eastAsia="Times New Roman" w:hAnsi="Times New Roman"/>
          <w:sz w:val="20"/>
          <w:szCs w:val="20"/>
          <w:color w:val="auto"/>
        </w:rPr>
        <w:t>4.5.</w:t>
      </w:r>
      <w:r>
        <w:rPr>
          <w:sz w:val="20"/>
          <w:szCs w:val="20"/>
          <w:color w:val="auto"/>
        </w:rPr>
        <w:t xml:space="preserve"> </w:t>
      </w:r>
      <w:r>
        <w:rPr>
          <w:rFonts w:ascii="Times New Roman" w:cs="Times New Roman" w:eastAsia="Times New Roman" w:hAnsi="Times New Roman"/>
          <w:sz w:val="20"/>
          <w:szCs w:val="20"/>
          <w:color w:val="auto"/>
        </w:rPr>
        <w:t>Entire Agreement: This Second General Release, together with the Separation Agreement and any exhibits and other documents expressly referenced in this Second General Release or Separation Agreement, sets forth the entire agreement between the Parties and supersedes any prior agreements, contracts or understandings between the Parties.</w:t>
      </w:r>
    </w:p>
    <w:p>
      <w:pPr>
        <w:spacing w:after="0" w:line="156" w:lineRule="exact"/>
        <w:rPr>
          <w:sz w:val="20"/>
          <w:szCs w:val="20"/>
          <w:color w:val="auto"/>
        </w:rPr>
      </w:pPr>
    </w:p>
    <w:p>
      <w:pPr>
        <w:ind w:left="584" w:hanging="584"/>
        <w:spacing w:after="0"/>
        <w:tabs>
          <w:tab w:leader="none" w:pos="5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 Agreement.</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By signing this Second General Release, Employee acknowledges that:</w:t>
      </w:r>
    </w:p>
    <w:p>
      <w:pPr>
        <w:spacing w:after="0" w:line="186" w:lineRule="exact"/>
        <w:rPr>
          <w:sz w:val="20"/>
          <w:szCs w:val="20"/>
          <w:color w:val="auto"/>
        </w:rPr>
      </w:pPr>
    </w:p>
    <w:p>
      <w:pPr>
        <w:jc w:val="both"/>
        <w:ind w:left="4" w:right="20" w:hanging="1"/>
        <w:spacing w:after="0" w:line="249" w:lineRule="auto"/>
        <w:rPr>
          <w:sz w:val="20"/>
          <w:szCs w:val="20"/>
          <w:color w:val="auto"/>
        </w:rPr>
      </w:pPr>
      <w:r>
        <w:rPr>
          <w:rFonts w:ascii="Times New Roman" w:cs="Times New Roman" w:eastAsia="Times New Roman" w:hAnsi="Times New Roman"/>
          <w:sz w:val="20"/>
          <w:szCs w:val="20"/>
          <w:color w:val="auto"/>
        </w:rPr>
        <w:t>5.1.</w:t>
      </w:r>
      <w:r>
        <w:rPr>
          <w:sz w:val="20"/>
          <w:szCs w:val="20"/>
          <w:color w:val="auto"/>
        </w:rPr>
        <w:t xml:space="preserve"> </w:t>
      </w:r>
      <w:r>
        <w:rPr>
          <w:rFonts w:ascii="Times New Roman" w:cs="Times New Roman" w:eastAsia="Times New Roman" w:hAnsi="Times New Roman"/>
          <w:sz w:val="20"/>
          <w:szCs w:val="20"/>
          <w:color w:val="auto"/>
        </w:rPr>
        <w:t>Employee has had a full twenty-one (21) days from the Cessation Date within which to consider this Second General Release before executing it or has freely and knowingly waived the right to consider this Second General Release for a full 21 days by executing the Second General Release before the expiration of the 21-day period;</w:t>
      </w:r>
    </w:p>
    <w:p>
      <w:pPr>
        <w:spacing w:after="0" w:line="166"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20"/>
          <w:szCs w:val="20"/>
          <w:color w:val="auto"/>
        </w:rPr>
        <w:t>5.2.</w:t>
        <w:tab/>
        <w:t>The Parties agree that any changes, whether material or immaterial, to this Second General Release, do not restart the running of the</w:t>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21-day period;</w:t>
      </w: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64"/>
          </w:cols>
          <w:pgMar w:left="316" w:top="1302" w:right="319" w:bottom="1440" w:gutter="0" w:footer="0" w:header="0"/>
        </w:sectPr>
      </w:pPr>
    </w:p>
    <w:bookmarkStart w:id="234" w:name="page235"/>
    <w:bookmarkEnd w:id="234"/>
    <w:p>
      <w:pPr>
        <w:spacing w:after="0"/>
        <w:tabs>
          <w:tab w:leader="none" w:pos="56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Employee has carefully read and fully understands all provisions of this Second General Release;</w:t>
      </w:r>
    </w:p>
    <w:p>
      <w:pPr>
        <w:spacing w:after="0" w:line="186" w:lineRule="exact"/>
        <w:rPr>
          <w:sz w:val="20"/>
          <w:szCs w:val="20"/>
          <w:color w:val="auto"/>
        </w:rPr>
      </w:pPr>
    </w:p>
    <w:p>
      <w:pPr>
        <w:jc w:val="both"/>
        <w:ind w:right="20" w:hanging="1"/>
        <w:spacing w:after="0" w:line="268" w:lineRule="auto"/>
        <w:rPr>
          <w:sz w:val="20"/>
          <w:szCs w:val="20"/>
          <w:color w:val="auto"/>
        </w:rPr>
      </w:pPr>
      <w:r>
        <w:rPr>
          <w:rFonts w:ascii="Times New Roman" w:cs="Times New Roman" w:eastAsia="Times New Roman" w:hAnsi="Times New Roman"/>
          <w:sz w:val="20"/>
          <w:szCs w:val="20"/>
          <w:color w:val="auto"/>
        </w:rPr>
        <w:t>5.4.</w:t>
      </w:r>
      <w:r>
        <w:rPr>
          <w:sz w:val="20"/>
          <w:szCs w:val="20"/>
          <w:color w:val="auto"/>
        </w:rPr>
        <w:t xml:space="preserve"> </w:t>
      </w:r>
      <w:r>
        <w:rPr>
          <w:rFonts w:ascii="Times New Roman" w:cs="Times New Roman" w:eastAsia="Times New Roman" w:hAnsi="Times New Roman"/>
          <w:sz w:val="20"/>
          <w:szCs w:val="20"/>
          <w:color w:val="auto"/>
        </w:rPr>
        <w:t>Employee knowingly and voluntarily agrees to all of the terms set forth in this Second General Release and agrees to be legally bound by all of the terms set forth in this Second General Release;</w:t>
      </w:r>
    </w:p>
    <w:p>
      <w:pPr>
        <w:spacing w:after="0" w:line="135" w:lineRule="exact"/>
        <w:rPr>
          <w:sz w:val="20"/>
          <w:szCs w:val="20"/>
          <w:color w:val="auto"/>
        </w:rPr>
      </w:pPr>
    </w:p>
    <w:p>
      <w:pPr>
        <w:jc w:val="both"/>
        <w:ind w:right="20" w:hanging="1"/>
        <w:spacing w:after="0" w:line="254" w:lineRule="auto"/>
        <w:rPr>
          <w:sz w:val="20"/>
          <w:szCs w:val="20"/>
          <w:color w:val="auto"/>
        </w:rPr>
      </w:pPr>
      <w:r>
        <w:rPr>
          <w:rFonts w:ascii="Times New Roman" w:cs="Times New Roman" w:eastAsia="Times New Roman" w:hAnsi="Times New Roman"/>
          <w:sz w:val="20"/>
          <w:szCs w:val="20"/>
          <w:color w:val="auto"/>
        </w:rPr>
        <w:t>5.5.</w:t>
      </w:r>
      <w:r>
        <w:rPr>
          <w:sz w:val="20"/>
          <w:szCs w:val="20"/>
          <w:color w:val="auto"/>
        </w:rPr>
        <w:t xml:space="preserve"> </w:t>
      </w:r>
      <w:r>
        <w:rPr>
          <w:rFonts w:ascii="Times New Roman" w:cs="Times New Roman" w:eastAsia="Times New Roman" w:hAnsi="Times New Roman"/>
          <w:sz w:val="20"/>
          <w:szCs w:val="20"/>
          <w:color w:val="auto"/>
        </w:rPr>
        <w:t>Employee has been and hereby is advised in writing to consider the terms of this Second General Release and to consult with an attorney;</w:t>
      </w:r>
    </w:p>
    <w:p>
      <w:pPr>
        <w:spacing w:after="0" w:line="394" w:lineRule="exact"/>
        <w:rPr>
          <w:sz w:val="20"/>
          <w:szCs w:val="20"/>
          <w:color w:val="auto"/>
        </w:rPr>
      </w:pPr>
    </w:p>
    <w:p>
      <w:pPr>
        <w:jc w:val="both"/>
        <w:ind w:right="20" w:hanging="1"/>
        <w:spacing w:after="0" w:line="255" w:lineRule="auto"/>
        <w:rPr>
          <w:sz w:val="20"/>
          <w:szCs w:val="20"/>
          <w:color w:val="auto"/>
        </w:rPr>
      </w:pPr>
      <w:r>
        <w:rPr>
          <w:rFonts w:ascii="Times New Roman" w:cs="Times New Roman" w:eastAsia="Times New Roman" w:hAnsi="Times New Roman"/>
          <w:sz w:val="20"/>
          <w:szCs w:val="20"/>
          <w:color w:val="auto"/>
        </w:rPr>
        <w:t>5.6.</w:t>
      </w:r>
      <w:r>
        <w:rPr>
          <w:sz w:val="20"/>
          <w:szCs w:val="20"/>
          <w:color w:val="auto"/>
        </w:rPr>
        <w:t xml:space="preserve"> </w:t>
      </w:r>
      <w:r>
        <w:rPr>
          <w:rFonts w:ascii="Times New Roman" w:cs="Times New Roman" w:eastAsia="Times New Roman" w:hAnsi="Times New Roman"/>
          <w:sz w:val="20"/>
          <w:szCs w:val="20"/>
          <w:color w:val="auto"/>
        </w:rPr>
        <w:t>Prior to signing this Second General Release, Employee has had the opportunity to consult with counsel of Employee’s choice concerning the terms and conditions of this Second General Release and has done so or freely chosen not to do so;</w:t>
      </w:r>
    </w:p>
    <w:p>
      <w:pPr>
        <w:spacing w:after="0" w:line="160" w:lineRule="exact"/>
        <w:rPr>
          <w:sz w:val="20"/>
          <w:szCs w:val="20"/>
          <w:color w:val="auto"/>
        </w:rPr>
      </w:pPr>
    </w:p>
    <w:p>
      <w:pPr>
        <w:jc w:val="both"/>
        <w:ind w:right="20" w:hanging="1"/>
        <w:spacing w:after="0" w:line="239" w:lineRule="auto"/>
        <w:rPr>
          <w:sz w:val="20"/>
          <w:szCs w:val="20"/>
          <w:color w:val="auto"/>
        </w:rPr>
      </w:pPr>
      <w:r>
        <w:rPr>
          <w:rFonts w:ascii="Times New Roman" w:cs="Times New Roman" w:eastAsia="Times New Roman" w:hAnsi="Times New Roman"/>
          <w:sz w:val="20"/>
          <w:szCs w:val="20"/>
          <w:color w:val="auto"/>
        </w:rPr>
        <w:t>5.7.</w:t>
      </w:r>
      <w:r>
        <w:rPr>
          <w:sz w:val="20"/>
          <w:szCs w:val="20"/>
          <w:color w:val="auto"/>
        </w:rPr>
        <w:t xml:space="preserve"> </w:t>
      </w:r>
      <w:r>
        <w:rPr>
          <w:rFonts w:ascii="Times New Roman" w:cs="Times New Roman" w:eastAsia="Times New Roman" w:hAnsi="Times New Roman"/>
          <w:sz w:val="20"/>
          <w:szCs w:val="20"/>
          <w:color w:val="auto"/>
        </w:rPr>
        <w:t>Employee has a full seven (7) days following the execution of this Second General Release to revoke this Second General Release. To revoke, Employee must send a written statement of revocation to hroperations@sonder.com. If Employee revokes within seven (7) days, Employee will receive no benefits under this Second General Release. If Employee does not exercise their right to revoke this Second General Release, then the Second General Release shall become effective on the date immediately following the seven-day (7) revocation period described above; and</w:t>
      </w:r>
    </w:p>
    <w:p>
      <w:pPr>
        <w:spacing w:after="0" w:line="177" w:lineRule="exact"/>
        <w:rPr>
          <w:sz w:val="20"/>
          <w:szCs w:val="20"/>
          <w:color w:val="auto"/>
        </w:rPr>
      </w:pPr>
    </w:p>
    <w:p>
      <w:pPr>
        <w:jc w:val="both"/>
        <w:ind w:hanging="1"/>
        <w:spacing w:after="0"/>
        <w:rPr>
          <w:sz w:val="20"/>
          <w:szCs w:val="20"/>
          <w:color w:val="auto"/>
        </w:rPr>
      </w:pPr>
      <w:r>
        <w:rPr>
          <w:rFonts w:ascii="Times New Roman" w:cs="Times New Roman" w:eastAsia="Times New Roman" w:hAnsi="Times New Roman"/>
          <w:sz w:val="20"/>
          <w:szCs w:val="20"/>
          <w:color w:val="auto"/>
        </w:rPr>
        <w:t>5.8.</w:t>
      </w:r>
      <w:r>
        <w:rPr>
          <w:sz w:val="20"/>
          <w:szCs w:val="20"/>
          <w:color w:val="auto"/>
        </w:rPr>
        <w:t xml:space="preserve"> </w:t>
      </w:r>
      <w:r>
        <w:rPr>
          <w:rFonts w:ascii="Times New Roman" w:cs="Times New Roman" w:eastAsia="Times New Roman" w:hAnsi="Times New Roman"/>
          <w:sz w:val="20"/>
          <w:szCs w:val="20"/>
          <w:color w:val="auto"/>
        </w:rPr>
        <w:t>Employee expressly understands that among the various rights and claims being waived by this Second General Release are those arising under the Age Discrimination in Employment Act (ADEA) of 1967 (29 U.S.C. § 621, et seq.), but that any such claims that arise after the date of this Second General Release are not waived. Although Employee is releasing claims that Employee may have under the Older Workers Benefit Protection Act (OWBPA) and ADEA, Employee understands that Employee may challenge the knowing and voluntary nature of their release in this Second General Release before a court, the Equal Employment Opportunity Commission (EEOC), NLRB, or any other federal, state or local agency charged with the enforcement of such employment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60"/>
          </w:cols>
          <w:pgMar w:left="320" w:top="1290" w:right="319" w:bottom="1440" w:gutter="0" w:footer="0" w:header="0"/>
        </w:sectPr>
      </w:pPr>
    </w:p>
    <w:bookmarkStart w:id="235" w:name="page236"/>
    <w:bookmarkEnd w:id="235"/>
    <w:p>
      <w:pPr>
        <w:ind w:right="20" w:hanging="1"/>
        <w:spacing w:after="0" w:line="272" w:lineRule="auto"/>
        <w:rPr>
          <w:sz w:val="20"/>
          <w:szCs w:val="20"/>
          <w:color w:val="auto"/>
        </w:rPr>
      </w:pPr>
      <w:r>
        <w:rPr>
          <w:rFonts w:ascii="Times New Roman" w:cs="Times New Roman" w:eastAsia="Times New Roman" w:hAnsi="Times New Roman"/>
          <w:sz w:val="20"/>
          <w:szCs w:val="20"/>
          <w:b w:val="1"/>
          <w:bCs w:val="1"/>
          <w:color w:val="auto"/>
        </w:rPr>
        <w:t>Having read the foregoing, having fully understood and agreed to the terms and provisions of this Second General Release and intending to be bound hereby, the Parties voluntarily and of their own free will execute this Second General Release as follows:</w:t>
      </w:r>
    </w:p>
    <w:p>
      <w:pPr>
        <w:spacing w:after="0" w:line="140" w:lineRule="exact"/>
        <w:rPr>
          <w:sz w:val="20"/>
          <w:szCs w:val="20"/>
          <w:color w:val="auto"/>
        </w:rPr>
      </w:pPr>
    </w:p>
    <w:p>
      <w:pPr>
        <w:ind w:right="20" w:hanging="1"/>
        <w:spacing w:after="0" w:line="285" w:lineRule="auto"/>
        <w:rPr>
          <w:sz w:val="20"/>
          <w:szCs w:val="20"/>
          <w:color w:val="auto"/>
        </w:rPr>
      </w:pPr>
      <w:r>
        <w:rPr>
          <w:rFonts w:ascii="Times New Roman" w:cs="Times New Roman" w:eastAsia="Times New Roman" w:hAnsi="Times New Roman"/>
          <w:sz w:val="20"/>
          <w:szCs w:val="20"/>
          <w:b w:val="1"/>
          <w:bCs w:val="1"/>
          <w:color w:val="auto"/>
        </w:rPr>
        <w:t>PLEASE READ CAREFULLY. THIS SECOND GENERAL RELEASE INCLUDES A RELEASE OF ALL KNOWN AND UNKNOWN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107315</wp:posOffset>
            </wp:positionV>
            <wp:extent cx="7152640" cy="17259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7152640" cy="1725930"/>
                    </a:xfrm>
                    <a:prstGeom prst="rect">
                      <a:avLst/>
                    </a:prstGeom>
                    <a:noFill/>
                  </pic:spPr>
                </pic:pic>
              </a:graphicData>
            </a:graphic>
          </wp:anchor>
        </w:drawing>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AGREED AND UNDERSTOOD: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Dated:_____________________________</w:t>
            </w:r>
          </w:p>
        </w:tc>
        <w:tc>
          <w:tcPr>
            <w:tcW w:w="6120" w:type="dxa"/>
            <w:vAlign w:val="bottom"/>
            <w:gridSpan w:val="3"/>
          </w:tcPr>
          <w:p>
            <w:pPr>
              <w:jc w:val="center"/>
              <w:ind w:left="602"/>
              <w:spacing w:after="0"/>
              <w:rPr>
                <w:sz w:val="20"/>
                <w:szCs w:val="20"/>
                <w:color w:val="auto"/>
              </w:rPr>
            </w:pPr>
            <w:r>
              <w:rPr>
                <w:rFonts w:ascii="Times New Roman" w:cs="Times New Roman" w:eastAsia="Times New Roman" w:hAnsi="Times New Roman"/>
                <w:sz w:val="20"/>
                <w:szCs w:val="20"/>
                <w:color w:val="auto"/>
                <w:w w:val="98"/>
              </w:rPr>
              <w:t>By: _______________________________</w:t>
            </w:r>
          </w:p>
        </w:tc>
      </w:tr>
      <w:tr>
        <w:trPr>
          <w:trHeight w:val="266"/>
        </w:trPr>
        <w:tc>
          <w:tcPr>
            <w:tcW w:w="51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jc w:val="center"/>
              <w:ind w:right="1242"/>
              <w:spacing w:after="0"/>
              <w:rPr>
                <w:sz w:val="20"/>
                <w:szCs w:val="20"/>
                <w:color w:val="auto"/>
              </w:rPr>
            </w:pPr>
            <w:r>
              <w:rPr>
                <w:rFonts w:ascii="Times New Roman" w:cs="Times New Roman" w:eastAsia="Times New Roman" w:hAnsi="Times New Roman"/>
                <w:sz w:val="20"/>
                <w:szCs w:val="20"/>
                <w:b w:val="1"/>
                <w:bCs w:val="1"/>
                <w:color w:val="auto"/>
                <w:w w:val="96"/>
              </w:rPr>
              <w:t>Deeksha Hebbar</w:t>
            </w:r>
          </w:p>
        </w:tc>
      </w:tr>
      <w:tr>
        <w:trPr>
          <w:trHeight w:val="266"/>
        </w:trPr>
        <w:tc>
          <w:tcPr>
            <w:tcW w:w="5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80" w:type="dxa"/>
            <w:vAlign w:val="bottom"/>
          </w:tcPr>
          <w:p>
            <w:pPr>
              <w:jc w:val="center"/>
              <w:ind w:right="1242"/>
              <w:spacing w:after="0"/>
              <w:rPr>
                <w:sz w:val="20"/>
                <w:szCs w:val="20"/>
                <w:color w:val="auto"/>
              </w:rPr>
            </w:pPr>
            <w:r>
              <w:rPr>
                <w:rFonts w:ascii="Times New Roman" w:cs="Times New Roman" w:eastAsia="Times New Roman" w:hAnsi="Times New Roman"/>
                <w:sz w:val="20"/>
                <w:szCs w:val="20"/>
                <w:b w:val="1"/>
                <w:bCs w:val="1"/>
                <w:color w:val="auto"/>
                <w:w w:val="98"/>
              </w:rPr>
              <w:t>Sonder USA Inc.</w:t>
            </w:r>
          </w:p>
        </w:tc>
      </w:tr>
      <w:tr>
        <w:trPr>
          <w:trHeight w:val="628"/>
        </w:trPr>
        <w:tc>
          <w:tcPr>
            <w:tcW w:w="51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Dated:_____________________________</w:t>
            </w:r>
          </w:p>
        </w:tc>
        <w:tc>
          <w:tcPr>
            <w:tcW w:w="1740" w:type="dxa"/>
            <w:vAlign w:val="bottom"/>
          </w:tcPr>
          <w:p>
            <w:pPr>
              <w:spacing w:after="0"/>
              <w:rPr>
                <w:sz w:val="24"/>
                <w:szCs w:val="24"/>
                <w:color w:val="auto"/>
              </w:rPr>
            </w:pPr>
          </w:p>
        </w:tc>
        <w:tc>
          <w:tcPr>
            <w:tcW w:w="4380" w:type="dxa"/>
            <w:vAlign w:val="bottom"/>
            <w:gridSpan w:val="2"/>
          </w:tcPr>
          <w:p>
            <w:pPr>
              <w:jc w:val="center"/>
              <w:ind w:right="962"/>
              <w:spacing w:after="0"/>
              <w:rPr>
                <w:sz w:val="20"/>
                <w:szCs w:val="20"/>
                <w:color w:val="auto"/>
              </w:rPr>
            </w:pPr>
            <w:r>
              <w:rPr>
                <w:rFonts w:ascii="Times New Roman" w:cs="Times New Roman" w:eastAsia="Times New Roman" w:hAnsi="Times New Roman"/>
                <w:sz w:val="20"/>
                <w:szCs w:val="20"/>
                <w:color w:val="auto"/>
                <w:w w:val="97"/>
              </w:rPr>
              <w:t>By:_______________________________</w:t>
            </w:r>
          </w:p>
        </w:tc>
      </w:tr>
      <w:tr>
        <w:trPr>
          <w:trHeight w:val="232"/>
        </w:trPr>
        <w:tc>
          <w:tcPr>
            <w:tcW w:w="5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80" w:type="dxa"/>
            <w:vAlign w:val="bottom"/>
          </w:tcPr>
          <w:p>
            <w:pPr>
              <w:jc w:val="center"/>
              <w:ind w:right="1242"/>
              <w:spacing w:after="0"/>
              <w:rPr>
                <w:sz w:val="20"/>
                <w:szCs w:val="20"/>
                <w:color w:val="auto"/>
              </w:rPr>
            </w:pPr>
            <w:r>
              <w:rPr>
                <w:rFonts w:ascii="Times New Roman" w:cs="Times New Roman" w:eastAsia="Times New Roman" w:hAnsi="Times New Roman"/>
                <w:sz w:val="20"/>
                <w:szCs w:val="20"/>
                <w:b w:val="1"/>
                <w:bCs w:val="1"/>
                <w:color w:val="auto"/>
                <w:w w:val="98"/>
              </w:rPr>
              <w:t>Milkana “Bonnie” Samuels</w:t>
            </w:r>
          </w:p>
        </w:tc>
      </w:tr>
      <w:tr>
        <w:trPr>
          <w:trHeight w:val="259"/>
        </w:trPr>
        <w:tc>
          <w:tcPr>
            <w:tcW w:w="5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80" w:type="dxa"/>
            <w:vAlign w:val="bottom"/>
          </w:tcPr>
          <w:p>
            <w:pPr>
              <w:jc w:val="center"/>
              <w:ind w:right="1242"/>
              <w:spacing w:after="0"/>
              <w:rPr>
                <w:sz w:val="20"/>
                <w:szCs w:val="20"/>
                <w:color w:val="auto"/>
              </w:rPr>
            </w:pPr>
            <w:r>
              <w:rPr>
                <w:rFonts w:ascii="Times New Roman" w:cs="Times New Roman" w:eastAsia="Times New Roman" w:hAnsi="Times New Roman"/>
                <w:sz w:val="20"/>
                <w:szCs w:val="20"/>
                <w:b w:val="1"/>
                <w:bCs w:val="1"/>
                <w:color w:val="auto"/>
                <w:w w:val="97"/>
              </w:rPr>
              <w:t>Vice President, People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60"/>
          </w:cols>
          <w:pgMar w:left="320" w:top="1298"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20"/>
          <w:szCs w:val="20"/>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WAIVER AGREEMENT</w:t>
      </w:r>
    </w:p>
    <w:p>
      <w:pPr>
        <w:spacing w:after="0" w:line="209" w:lineRule="exact"/>
        <w:rPr>
          <w:sz w:val="20"/>
          <w:szCs w:val="20"/>
          <w:color w:val="auto"/>
        </w:rPr>
      </w:pPr>
    </w:p>
    <w:p>
      <w:pPr>
        <w:jc w:val="both"/>
        <w:ind w:left="2" w:right="20" w:firstLine="1175"/>
        <w:spacing w:after="0" w:line="253"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WAIVER AGREEMENT</w:t>
      </w:r>
      <w:r>
        <w:rPr>
          <w:rFonts w:ascii="Times New Roman" w:cs="Times New Roman" w:eastAsia="Times New Roman" w:hAnsi="Times New Roman"/>
          <w:sz w:val="18"/>
          <w:szCs w:val="18"/>
          <w:color w:val="auto"/>
        </w:rPr>
        <w:t>, dated as of September 26,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(a) (i) Sonder Holdings Inc., a Delaware corporation, (ii) Sonder Holdings LLC, a Delaware limited liability company, (iii) Sonder Group Holdings LLC, a Delaware limited liability company, (iv) Sonder Technology Inc., a Delaware corporation, (v) Sonder Hospitality USA Inc., a Delaware corporation, (vi) Sonder USA Inc., a Delaware corporation, (vii) Sonder Hospitality Holdings LLC, a Delaware limited liability company, (viii) Sonder Partner Co., a Delaware corporation, and</w:t>
      </w:r>
    </w:p>
    <w:p>
      <w:pPr>
        <w:spacing w:after="0" w:line="2" w:lineRule="exact"/>
        <w:rPr>
          <w:sz w:val="20"/>
          <w:szCs w:val="20"/>
          <w:color w:val="auto"/>
        </w:rPr>
      </w:pPr>
    </w:p>
    <w:p>
      <w:pPr>
        <w:jc w:val="both"/>
        <w:ind w:left="2" w:right="20" w:hanging="2"/>
        <w:spacing w:after="0" w:line="256" w:lineRule="auto"/>
        <w:tabs>
          <w:tab w:leader="none" w:pos="31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Sonder Guest Services LLC, a Washington limited liability company (individually and collectively, jointly and severally,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(b) Silicon Valley Bank, a division of First-Citizens Bank &amp; Trust Company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Capitalized terms not otherwise defined in this Agreement shall have the meanings assigned thereto in the Loan Agreement (as defined below).</w:t>
      </w:r>
    </w:p>
    <w:p>
      <w:pPr>
        <w:spacing w:after="0" w:line="165" w:lineRule="exact"/>
        <w:rPr>
          <w:sz w:val="20"/>
          <w:szCs w:val="20"/>
          <w:color w:val="auto"/>
        </w:rPr>
      </w:pPr>
    </w:p>
    <w:p>
      <w:pPr>
        <w:jc w:val="both"/>
        <w:ind w:left="2" w:right="20" w:firstLine="1175"/>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reference is made to that certain Loan and Security Agreement dated as of December 21, 2022, as amended by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Amendment to Loan and Security Agreement dated as of April 28, 2023, as further amended by that certain Second Amendment to Loan and Security Agreement dated as of November 6, 2023, as further amended by that certain Waiver and Third Amendment to Loan and Security Agreement dated as of June 10, 2024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as further amended by that certain Fourth Amendment to Loan and Security Agreement dated as of July 12, 2024, and as further amended by that certain Fifth Amendment to Loan and Security Agreement dated as of August 13, 2024 (as the same has been and may from time to time be further amended, modified, supplemented or restated,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by and among Borrower and Bank;</w:t>
      </w:r>
    </w:p>
    <w:p>
      <w:pPr>
        <w:spacing w:after="0" w:line="152" w:lineRule="exact"/>
        <w:rPr>
          <w:sz w:val="20"/>
          <w:szCs w:val="20"/>
          <w:color w:val="auto"/>
        </w:rPr>
      </w:pPr>
    </w:p>
    <w:p>
      <w:pPr>
        <w:jc w:val="both"/>
        <w:ind w:left="2" w:right="20" w:firstLine="1175"/>
        <w:spacing w:after="0" w:line="29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Defaults or Events of Default as specified on Schedule A hereto may occur (such Defaults and Events of Default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Waived Matters</w:t>
      </w:r>
      <w:r>
        <w:rPr>
          <w:rFonts w:ascii="Times New Roman" w:cs="Times New Roman" w:eastAsia="Times New Roman" w:hAnsi="Times New Roman"/>
          <w:sz w:val="18"/>
          <w:szCs w:val="18"/>
          <w:color w:val="auto"/>
        </w:rPr>
        <w:t>”); and</w:t>
      </w:r>
    </w:p>
    <w:p>
      <w:pPr>
        <w:spacing w:after="0" w:line="135" w:lineRule="exact"/>
        <w:rPr>
          <w:sz w:val="20"/>
          <w:szCs w:val="20"/>
          <w:color w:val="auto"/>
        </w:rPr>
      </w:pPr>
    </w:p>
    <w:p>
      <w:pPr>
        <w:ind w:left="1182"/>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that Bank agree to waive the Waived Matters, in each case, subject to the terms and conditions of this</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Agreement.</w:t>
      </w:r>
    </w:p>
    <w:p>
      <w:pPr>
        <w:spacing w:after="0" w:line="185" w:lineRule="exact"/>
        <w:rPr>
          <w:sz w:val="20"/>
          <w:szCs w:val="20"/>
          <w:color w:val="auto"/>
        </w:rPr>
      </w:pPr>
    </w:p>
    <w:p>
      <w:pPr>
        <w:jc w:val="both"/>
        <w:ind w:left="2" w:right="20" w:firstLine="1175"/>
        <w:spacing w:after="0" w:line="277"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agree as follows:</w:t>
      </w:r>
    </w:p>
    <w:p>
      <w:pPr>
        <w:spacing w:after="0" w:line="147" w:lineRule="exact"/>
        <w:rPr>
          <w:sz w:val="20"/>
          <w:szCs w:val="20"/>
          <w:color w:val="auto"/>
        </w:rPr>
      </w:pPr>
    </w:p>
    <w:p>
      <w:pPr>
        <w:ind w:left="4902" w:hanging="634"/>
        <w:spacing w:after="0"/>
        <w:tabs>
          <w:tab w:leader="none" w:pos="4902" w:val="left"/>
        </w:tabs>
        <w:numPr>
          <w:ilvl w:val="2"/>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ACKNOWLEDGMENTS</w:t>
      </w:r>
    </w:p>
    <w:p>
      <w:pPr>
        <w:spacing w:after="0" w:line="208" w:lineRule="exact"/>
        <w:rPr>
          <w:rFonts w:ascii="Times New Roman" w:cs="Times New Roman" w:eastAsia="Times New Roman" w:hAnsi="Times New Roman"/>
          <w:sz w:val="18"/>
          <w:szCs w:val="18"/>
          <w:b w:val="1"/>
          <w:bCs w:val="1"/>
          <w:color w:val="auto"/>
        </w:rPr>
      </w:pPr>
    </w:p>
    <w:p>
      <w:pPr>
        <w:ind w:left="582" w:right="380"/>
        <w:spacing w:after="0" w:line="29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17"/>
          <w:szCs w:val="17"/>
          <w:u w:val="single" w:color="auto"/>
          <w:color w:val="auto"/>
        </w:rPr>
        <w:t>Acknowledgments</w:t>
      </w:r>
      <w:r>
        <w:rPr>
          <w:rFonts w:ascii="Times New Roman" w:cs="Times New Roman" w:eastAsia="Times New Roman" w:hAnsi="Times New Roman"/>
          <w:sz w:val="17"/>
          <w:szCs w:val="17"/>
          <w:color w:val="auto"/>
        </w:rPr>
        <w:t>. Borrower hereby acknowledges and agrees, upon execution and delivery of this Agreement, subject to the terms set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forth herein, that:</w:t>
      </w:r>
    </w:p>
    <w:p>
      <w:pPr>
        <w:spacing w:after="0" w:line="130" w:lineRule="exact"/>
        <w:rPr>
          <w:rFonts w:ascii="Times New Roman" w:cs="Times New Roman" w:eastAsia="Times New Roman" w:hAnsi="Times New Roman"/>
          <w:sz w:val="18"/>
          <w:szCs w:val="18"/>
          <w:b w:val="1"/>
          <w:bCs w:val="1"/>
          <w:color w:val="auto"/>
        </w:rPr>
      </w:pPr>
    </w:p>
    <w:p>
      <w:pPr>
        <w:jc w:val="both"/>
        <w:ind w:left="582" w:right="20" w:firstLine="593"/>
        <w:spacing w:after="0" w:line="256" w:lineRule="auto"/>
        <w:tabs>
          <w:tab w:leader="none" w:pos="174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effectiveness of this Agreement, the Liens granted by Borrower as collateral security for the Indebtedness, obligations and liabilities of Borrower evidenced by the Loan Agreement and the other Loan Documents pursuant to, each of the Loan Documents to which Borrower is a party shall not be impaired, and each of the Loan Documents to which Borrower is a party is, and shall continue to be, in full force and effect in all respects;</w:t>
      </w:r>
    </w:p>
    <w:p>
      <w:pPr>
        <w:spacing w:after="0" w:line="169" w:lineRule="exact"/>
        <w:rPr>
          <w:rFonts w:ascii="Times New Roman" w:cs="Times New Roman" w:eastAsia="Times New Roman" w:hAnsi="Times New Roman"/>
          <w:sz w:val="18"/>
          <w:szCs w:val="18"/>
          <w:color w:val="auto"/>
        </w:rPr>
      </w:pPr>
    </w:p>
    <w:p>
      <w:pPr>
        <w:jc w:val="both"/>
        <w:ind w:left="582" w:firstLine="593"/>
        <w:spacing w:after="0" w:line="264" w:lineRule="auto"/>
        <w:tabs>
          <w:tab w:leader="none" w:pos="175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the Loan Documents constitute (and as modified by this Agreement shall continue to constitute) valid and binding obligations and agreements of Borrower enforceable against Borrower in accordance with their respective terms except as such enforceability may be limited by Applicable Laws and by general principles of equity and principles of good faith and fair dealing;</w:t>
      </w:r>
    </w:p>
    <w:p>
      <w:pPr>
        <w:sectPr>
          <w:pgSz w:w="11900" w:h="16838" w:orient="portrait"/>
          <w:cols w:equalWidth="0" w:num="1">
            <w:col w:w="11262"/>
          </w:cols>
          <w:pgMar w:left="318" w:top="126" w:right="319" w:bottom="1440" w:gutter="0" w:footer="0" w:header="0"/>
        </w:sectPr>
      </w:pPr>
    </w:p>
    <w:bookmarkStart w:id="237" w:name="page238"/>
    <w:bookmarkEnd w:id="237"/>
    <w:p>
      <w:pPr>
        <w:jc w:val="both"/>
        <w:ind w:left="-6" w:firstLine="593"/>
        <w:spacing w:after="0" w:line="261" w:lineRule="auto"/>
        <w:tabs>
          <w:tab w:leader="none" w:pos="11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Bank has not waived, released or compromised, and does not hereby waive, release or compromise, and may never waive, release or compromise any events, occurrences, acts, or omissions that may constitute or give rise to any Defaults or Events of Default that existed or may have existed, or may presently exist, or may arise in the future (other than with respect to the Waived Matters as defined in the Third Amendment and as expressly set forth herein);</w:t>
      </w:r>
    </w:p>
    <w:p>
      <w:pPr>
        <w:spacing w:after="0" w:line="152" w:lineRule="exact"/>
        <w:rPr>
          <w:rFonts w:ascii="Times New Roman" w:cs="Times New Roman" w:eastAsia="Times New Roman" w:hAnsi="Times New Roman"/>
          <w:sz w:val="18"/>
          <w:szCs w:val="18"/>
          <w:color w:val="auto"/>
        </w:rPr>
      </w:pPr>
    </w:p>
    <w:p>
      <w:pPr>
        <w:jc w:val="both"/>
        <w:ind w:left="-6" w:firstLine="593"/>
        <w:spacing w:after="0" w:line="256" w:lineRule="auto"/>
        <w:tabs>
          <w:tab w:leader="none" w:pos="117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shall not: (i) constitute an extension, modification, or waiver of any aspect of any of the Loan Documents (except as specifically and expressly set forth herein); (ii) extend the maturity of the Obligations or the due date of any payment of any Obligations or other obligations under the other Loan Documents or payable in connection with the Loan Documents; (iii) give rise to any obligation on the part of Bank to extend, modify or waive any term or condition of the Loan Documents; (iv) establish any course of dealing with respect to the Loan Documents; or (v) give rise to any defenses or counterclaims to the right of Bank to compel payment of the Obligations or otherwise enforce its rights and remedies set forth in the Loan Documents; and</w:t>
      </w:r>
    </w:p>
    <w:p>
      <w:pPr>
        <w:spacing w:after="0" w:line="169" w:lineRule="exact"/>
        <w:rPr>
          <w:rFonts w:ascii="Times New Roman" w:cs="Times New Roman" w:eastAsia="Times New Roman" w:hAnsi="Times New Roman"/>
          <w:sz w:val="18"/>
          <w:szCs w:val="18"/>
          <w:color w:val="auto"/>
        </w:rPr>
      </w:pPr>
    </w:p>
    <w:p>
      <w:pPr>
        <w:jc w:val="both"/>
        <w:ind w:left="-6" w:firstLine="593"/>
        <w:spacing w:after="0" w:line="263" w:lineRule="auto"/>
        <w:tabs>
          <w:tab w:leader="none" w:pos="11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(as defined below) by Bank shall not, except as expressly provided herein, invalidate, impair, negate or otherwise affect Bank</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exercise its rights and remedies under the Loan Documents or otherwise, and Bank shall be free to exercise any or all rights or remedies.</w:t>
      </w:r>
    </w:p>
    <w:p>
      <w:pPr>
        <w:spacing w:after="0" w:line="159" w:lineRule="exact"/>
        <w:rPr>
          <w:rFonts w:ascii="Times New Roman" w:cs="Times New Roman" w:eastAsia="Times New Roman" w:hAnsi="Times New Roman"/>
          <w:sz w:val="18"/>
          <w:szCs w:val="18"/>
          <w:color w:val="auto"/>
        </w:rPr>
      </w:pPr>
    </w:p>
    <w:p>
      <w:pPr>
        <w:ind w:left="4914" w:hanging="583"/>
        <w:spacing w:after="0"/>
        <w:tabs>
          <w:tab w:leader="none" w:pos="4914" w:val="left"/>
        </w:tabs>
        <w:numPr>
          <w:ilvl w:val="3"/>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221" w:lineRule="exact"/>
        <w:rPr>
          <w:rFonts w:ascii="Times New Roman" w:cs="Times New Roman" w:eastAsia="Times New Roman" w:hAnsi="Times New Roman"/>
          <w:sz w:val="18"/>
          <w:szCs w:val="18"/>
          <w:b w:val="1"/>
          <w:bCs w:val="1"/>
          <w:color w:val="auto"/>
        </w:rPr>
      </w:pPr>
    </w:p>
    <w:p>
      <w:pPr>
        <w:jc w:val="both"/>
        <w:ind w:left="-6" w:firstLine="6"/>
        <w:spacing w:after="0" w:line="253" w:lineRule="auto"/>
        <w:tabs>
          <w:tab w:leader="none" w:pos="57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Subject to the satisfaction of each of the conditions precedent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V.1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effectiveness of this Agreement,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waives the Waived Matters (the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provided, however, that if any Indebtedness under the Note Purchase Agreement is accelerated as a result of the NPA Cross Default (as defined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then the Waiver shall be immediately rescinded and be of no further force and effect, and Bank shall be free to exercise any or all rights and remedies under the Loan Documents or otherwise in connection with the Waived Matters.</w:t>
      </w:r>
    </w:p>
    <w:p>
      <w:pPr>
        <w:spacing w:after="0" w:line="182" w:lineRule="exact"/>
        <w:rPr>
          <w:rFonts w:ascii="Times New Roman" w:cs="Times New Roman" w:eastAsia="Times New Roman" w:hAnsi="Times New Roman"/>
          <w:sz w:val="20"/>
          <w:szCs w:val="20"/>
          <w:color w:val="auto"/>
        </w:rPr>
      </w:pPr>
    </w:p>
    <w:p>
      <w:pPr>
        <w:jc w:val="both"/>
        <w:ind w:left="-6" w:firstLine="6"/>
        <w:spacing w:after="0" w:line="251" w:lineRule="auto"/>
        <w:tabs>
          <w:tab w:leader="none" w:pos="58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HEREBY AGREES AND ACKNOWLEDGES THAT BANK WILL REQUIRE 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BORROWER OF ALL OF THEIR RESPECTIVE OBLIGATIONS, AGREEMENTS AND COVENANTS CONTAINED IN THE LOAN AGREEMENT AND ANY OTHER LOAN DOCUMENTS, AND NO INACTION OR ACTION BY BANK REGARDING ANY DEFAULT OR EVENT OF DEFAULT (OTHER THAN THE WAIVED MATTERS) IS INTENDED TO BE OR SHALL BE A WAIVER THEREOF. BORROWER HEREBY ALSO AGREES AND ACKNOWLEDGES THAT NO COURSE OF DEALING AND NO DELAY IN EXERCISING ANY RIGHT, POWER OR REMEDY CONFERRED TO BANK IN THE LOAN AGREEMENT OR IN ANY OTHER LOAN DOCUMENT OR NOW OR HEREAFTER EXISTING AT LAW, IN EQUITY, BY STATUTE OR OTHERWISE SHALL OPERATE AS A WAIVER OF OR OTHERWISE PREJUDICE ANY SUCH RIGHT, POWER OR REMEDY, OTHER THAN AS SPECIFIED HEREIN WITH RESPECT TO THE WAIVED MATTERS.</w:t>
      </w:r>
    </w:p>
    <w:p>
      <w:pPr>
        <w:spacing w:after="0" w:line="170" w:lineRule="exact"/>
        <w:rPr>
          <w:rFonts w:ascii="Times New Roman" w:cs="Times New Roman" w:eastAsia="Times New Roman" w:hAnsi="Times New Roman"/>
          <w:sz w:val="20"/>
          <w:szCs w:val="20"/>
          <w:color w:val="auto"/>
        </w:rPr>
      </w:pPr>
    </w:p>
    <w:p>
      <w:pPr>
        <w:ind w:left="4294" w:hanging="579"/>
        <w:spacing w:after="0"/>
        <w:tabs>
          <w:tab w:leader="none" w:pos="4294" w:val="left"/>
        </w:tabs>
        <w:numPr>
          <w:ilvl w:val="2"/>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94"/>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654"/>
          </w:cols>
          <w:pgMar w:left="906" w:top="1294" w:right="339" w:bottom="1440" w:gutter="0" w:footer="0" w:header="0"/>
        </w:sectPr>
      </w:pPr>
    </w:p>
    <w:bookmarkStart w:id="238" w:name="page239"/>
    <w:bookmarkEnd w:id="238"/>
    <w:p>
      <w:pPr>
        <w:jc w:val="both"/>
        <w:ind w:firstLine="6"/>
        <w:spacing w:after="0" w:line="252" w:lineRule="auto"/>
        <w:tabs>
          <w:tab w:leader="none" w:pos="57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Payment of Expenses</w:t>
      </w:r>
      <w:r>
        <w:rPr>
          <w:rFonts w:ascii="Times New Roman" w:cs="Times New Roman" w:eastAsia="Times New Roman" w:hAnsi="Times New Roman"/>
          <w:sz w:val="18"/>
          <w:szCs w:val="18"/>
          <w:color w:val="auto"/>
        </w:rPr>
        <w:t>. Borrower, jointly and severally, agree to pay and reimburse Bank promptly for all of its reasonable documented out-of-pocket costs and expenses for which invoices have been, including without limitation, the fees of their counsel to the extent provided for in the Loan Agreement.</w:t>
      </w:r>
    </w:p>
    <w:p>
      <w:pPr>
        <w:spacing w:after="0" w:line="193" w:lineRule="exact"/>
        <w:rPr>
          <w:rFonts w:ascii="Times New Roman" w:cs="Times New Roman" w:eastAsia="Times New Roman" w:hAnsi="Times New Roman"/>
          <w:sz w:val="20"/>
          <w:szCs w:val="20"/>
          <w:color w:val="auto"/>
        </w:rPr>
      </w:pPr>
    </w:p>
    <w:p>
      <w:pPr>
        <w:ind w:left="600" w:hanging="594"/>
        <w:spacing w:after="0"/>
        <w:tabs>
          <w:tab w:leader="none" w:pos="6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color w:val="auto"/>
        </w:rPr>
        <w:t>. This Agreement is a</w:t>
      </w:r>
      <w:r>
        <w:rPr>
          <w:rFonts w:ascii="Times New Roman" w:cs="Times New Roman" w:eastAsia="Times New Roman" w:hAnsi="Times New Roman"/>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Loan Document” for the purposes of the provisions of the other Loan Documents.</w:t>
      </w:r>
    </w:p>
    <w:p>
      <w:pPr>
        <w:spacing w:after="0" w:line="174" w:lineRule="exact"/>
        <w:rPr>
          <w:rFonts w:ascii="Times New Roman" w:cs="Times New Roman" w:eastAsia="Times New Roman" w:hAnsi="Times New Roman"/>
          <w:sz w:val="20"/>
          <w:szCs w:val="20"/>
          <w:color w:val="auto"/>
        </w:rPr>
      </w:pPr>
    </w:p>
    <w:p>
      <w:pPr>
        <w:ind w:left="3600" w:hanging="634"/>
        <w:spacing w:after="0"/>
        <w:tabs>
          <w:tab w:leader="none" w:pos="3600"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foregoing agreements, Borrower jointly and severally hereby represents and warrants to Bank, as follows:</w:t>
      </w:r>
    </w:p>
    <w:p>
      <w:pPr>
        <w:spacing w:after="0" w:line="234" w:lineRule="exact"/>
        <w:rPr>
          <w:sz w:val="20"/>
          <w:szCs w:val="20"/>
          <w:color w:val="auto"/>
        </w:rPr>
      </w:pPr>
    </w:p>
    <w:p>
      <w:pPr>
        <w:jc w:val="both"/>
        <w:ind w:firstLine="6"/>
        <w:spacing w:after="0" w:line="250" w:lineRule="auto"/>
        <w:tabs>
          <w:tab w:leader="none" w:pos="57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after giving effect to this Agreement, all representations and warranties made in the Loan Agreement and the other Loan Documents made by it that have no materiality or material adverse effect qualification are true and correct in all material respects, and the representations and warranties in the Loan Agreement and in the Loan Documents that have a materiality or material adverse effect qualification are true and correct in all respects, in each case with the same effect as though made on and as of the Agreement Effective Date or, to the extent such representations and warranties expressly relate to an earlier date, as of such earlier date, in each case, other than any such representation and warranty regarding no Default or Event of Default solely as a result of the Waived Matters (as defined in the Third Amendment and as expressly set forth herein);</w:t>
      </w:r>
    </w:p>
    <w:p>
      <w:pPr>
        <w:spacing w:after="0" w:line="188" w:lineRule="exact"/>
        <w:rPr>
          <w:rFonts w:ascii="Times New Roman" w:cs="Times New Roman" w:eastAsia="Times New Roman" w:hAnsi="Times New Roman"/>
          <w:sz w:val="20"/>
          <w:szCs w:val="20"/>
          <w:color w:val="auto"/>
        </w:rPr>
      </w:pPr>
    </w:p>
    <w:p>
      <w:pPr>
        <w:ind w:left="600" w:hanging="594"/>
        <w:spacing w:after="0"/>
        <w:tabs>
          <w:tab w:leader="none" w:pos="6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after giving effect to this Agreement, no Default or Event of Default exists and is continuing as of the Agreement Effective Date;</w:t>
      </w:r>
    </w:p>
    <w:p>
      <w:pPr>
        <w:spacing w:after="0" w:line="210" w:lineRule="exact"/>
        <w:rPr>
          <w:rFonts w:ascii="Times New Roman" w:cs="Times New Roman" w:eastAsia="Times New Roman" w:hAnsi="Times New Roman"/>
          <w:sz w:val="20"/>
          <w:szCs w:val="20"/>
          <w:color w:val="auto"/>
        </w:rPr>
      </w:pPr>
    </w:p>
    <w:p>
      <w:pPr>
        <w:ind w:firstLine="6"/>
        <w:spacing w:after="0" w:line="245" w:lineRule="auto"/>
        <w:tabs>
          <w:tab w:leader="none" w:pos="57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execution, delivery and performance of this Agreement are within Borrower’s corporate, limited liability company, partnership or other organizational powers, as applicable, and have been duly authorized by appropriate organizational and governing action and proceedings;</w:t>
      </w:r>
    </w:p>
    <w:p>
      <w:pPr>
        <w:spacing w:after="0" w:line="202" w:lineRule="exact"/>
        <w:rPr>
          <w:rFonts w:ascii="Times New Roman" w:cs="Times New Roman" w:eastAsia="Times New Roman" w:hAnsi="Times New Roman"/>
          <w:sz w:val="20"/>
          <w:szCs w:val="20"/>
          <w:color w:val="auto"/>
        </w:rPr>
      </w:pPr>
    </w:p>
    <w:p>
      <w:pPr>
        <w:ind w:firstLine="6"/>
        <w:spacing w:after="0" w:line="260" w:lineRule="auto"/>
        <w:tabs>
          <w:tab w:leader="none" w:pos="58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each person who is executing this Agreement on behalf of Borrower has the full power, authority and legal right to do so, and this Agreement has been duly executed by such person and delivered to Bank; and</w:t>
      </w:r>
    </w:p>
    <w:p>
      <w:pPr>
        <w:spacing w:after="0" w:line="175" w:lineRule="exact"/>
        <w:rPr>
          <w:rFonts w:ascii="Times New Roman" w:cs="Times New Roman" w:eastAsia="Times New Roman" w:hAnsi="Times New Roman"/>
          <w:sz w:val="20"/>
          <w:szCs w:val="20"/>
          <w:color w:val="auto"/>
        </w:rPr>
      </w:pPr>
    </w:p>
    <w:p>
      <w:pPr>
        <w:jc w:val="both"/>
        <w:ind w:firstLine="6"/>
        <w:spacing w:after="0" w:line="249" w:lineRule="auto"/>
        <w:tabs>
          <w:tab w:leader="none" w:pos="57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Agreement is the legal, valid and binding obligation of Borrower, enforceable against Borrower in accordance with its terms, subject to applicable bankruptcy, insolvency, reorganization, moratorium or other laws affecting creditors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rights generally and subject to general principles of equity, regardless of whether considered in a proceeding in equity or at law.</w:t>
      </w:r>
    </w:p>
    <w:p>
      <w:pPr>
        <w:spacing w:after="0" w:line="171" w:lineRule="exact"/>
        <w:rPr>
          <w:rFonts w:ascii="Times New Roman" w:cs="Times New Roman" w:eastAsia="Times New Roman" w:hAnsi="Times New Roman"/>
          <w:sz w:val="20"/>
          <w:szCs w:val="20"/>
          <w:color w:val="auto"/>
        </w:rPr>
      </w:pPr>
    </w:p>
    <w:p>
      <w:pPr>
        <w:ind w:left="4520" w:hanging="625"/>
        <w:spacing w:after="0"/>
        <w:tabs>
          <w:tab w:leader="none" w:pos="4520"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2" w:lineRule="exact"/>
        <w:rPr>
          <w:sz w:val="20"/>
          <w:szCs w:val="20"/>
          <w:color w:val="auto"/>
        </w:rPr>
      </w:pPr>
    </w:p>
    <w:p>
      <w:pPr>
        <w:ind w:firstLine="6"/>
        <w:spacing w:after="0" w:line="268" w:lineRule="auto"/>
        <w:tabs>
          <w:tab w:leader="none" w:pos="57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Condition Precedent to Effectiveness of this Agreement</w:t>
      </w:r>
      <w:r>
        <w:rPr>
          <w:rFonts w:ascii="Times New Roman" w:cs="Times New Roman" w:eastAsia="Times New Roman" w:hAnsi="Times New Roman"/>
          <w:sz w:val="18"/>
          <w:szCs w:val="18"/>
          <w:color w:val="auto"/>
        </w:rPr>
        <w:t>. This Agreement and the Waiver shall become effective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satisfaction of each of the following conditions (the date on which such conditions are satisfied, the </w:t>
      </w:r>
      <w:r>
        <w:rPr>
          <w:rFonts w:ascii="Arial" w:cs="Arial" w:eastAsia="Arial" w:hAnsi="Arial"/>
          <w:sz w:val="18"/>
          <w:szCs w:val="18"/>
          <w:color w:val="auto"/>
        </w:rPr>
        <w:t>“</w:t>
      </w:r>
      <w:r>
        <w:rPr>
          <w:rFonts w:ascii="Times New Roman" w:cs="Times New Roman" w:eastAsia="Times New Roman" w:hAnsi="Times New Roman"/>
          <w:sz w:val="18"/>
          <w:szCs w:val="18"/>
          <w:u w:val="single" w:color="auto"/>
          <w:color w:val="auto"/>
        </w:rPr>
        <w:t>Agreement 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660"/>
          </w:cols>
          <w:pgMar w:left="900" w:top="1315" w:right="339" w:bottom="1440" w:gutter="0" w:footer="0" w:header="0"/>
        </w:sectPr>
      </w:pPr>
    </w:p>
    <w:bookmarkStart w:id="239" w:name="page240"/>
    <w:bookmarkEnd w:id="239"/>
    <w:p>
      <w:pPr>
        <w:ind w:left="574" w:hanging="574"/>
        <w:spacing w:after="0"/>
        <w:tabs>
          <w:tab w:leader="none" w:pos="57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have received a fully executed copy of this Agreement, duly executed by Borrower; and</w:t>
      </w:r>
    </w:p>
    <w:p>
      <w:pPr>
        <w:spacing w:after="0" w:line="209" w:lineRule="exact"/>
        <w:rPr>
          <w:rFonts w:ascii="Times New Roman" w:cs="Times New Roman" w:eastAsia="Times New Roman" w:hAnsi="Times New Roman"/>
          <w:sz w:val="18"/>
          <w:szCs w:val="18"/>
          <w:color w:val="auto"/>
        </w:rPr>
      </w:pPr>
    </w:p>
    <w:p>
      <w:pPr>
        <w:ind w:left="-6" w:firstLine="6"/>
        <w:spacing w:after="0" w:line="272" w:lineRule="auto"/>
        <w:tabs>
          <w:tab w:leader="none" w:pos="58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shall have received payment and reimbursement from Borrower for all of its reasonable documented out-of-pocket costs and expenses of counsel for which invoices have been presented to Borrower at least one Business Day prior to the Agreement Effective Date.</w:t>
      </w:r>
    </w:p>
    <w:p>
      <w:pPr>
        <w:spacing w:after="0" w:line="176" w:lineRule="exact"/>
        <w:rPr>
          <w:sz w:val="20"/>
          <w:szCs w:val="20"/>
          <w:color w:val="auto"/>
        </w:rPr>
      </w:pPr>
    </w:p>
    <w:p>
      <w:pPr>
        <w:jc w:val="both"/>
        <w:ind w:left="-6" w:firstLine="6"/>
        <w:spacing w:after="0" w:line="252" w:lineRule="auto"/>
        <w:tabs>
          <w:tab w:leader="none" w:pos="58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and delivered in any number of counterparts with the same effect as if the signatures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counterpart were upon the same instrument. Any counterpart delivered by facsimile or by other electronic method of transmission shall be deemed an original signature thereto.</w:t>
      </w:r>
    </w:p>
    <w:p>
      <w:pPr>
        <w:spacing w:after="0" w:line="193" w:lineRule="exact"/>
        <w:rPr>
          <w:rFonts w:ascii="Times New Roman" w:cs="Times New Roman" w:eastAsia="Times New Roman" w:hAnsi="Times New Roman"/>
          <w:sz w:val="20"/>
          <w:szCs w:val="20"/>
          <w:color w:val="auto"/>
        </w:rPr>
      </w:pPr>
    </w:p>
    <w:p>
      <w:pPr>
        <w:ind w:left="-6" w:firstLine="6"/>
        <w:spacing w:after="0" w:line="250" w:lineRule="auto"/>
        <w:tabs>
          <w:tab w:leader="none" w:pos="57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Choice of Law, Venue and Jury Trial Waiver; Judicial Reference</w:t>
      </w:r>
      <w:r>
        <w:rPr>
          <w:rFonts w:ascii="Times New Roman" w:cs="Times New Roman" w:eastAsia="Times New Roman" w:hAnsi="Times New Roman"/>
          <w:sz w:val="18"/>
          <w:szCs w:val="18"/>
          <w:color w:val="auto"/>
        </w:rPr>
        <w:t>. Section 10 of the Loan Agreement is hereby incorporated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20"/>
          <w:szCs w:val="20"/>
          <w:color w:val="auto"/>
        </w:rPr>
      </w:pPr>
    </w:p>
    <w:p>
      <w:pPr>
        <w:ind w:left="-6" w:firstLine="6"/>
        <w:spacing w:after="0" w:line="250" w:lineRule="auto"/>
        <w:tabs>
          <w:tab w:leader="none" w:pos="58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each of Borrower, Bank and their respective successors and assigns,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inure to the benefit of each such person and their permitted successors and assigns.</w:t>
      </w:r>
    </w:p>
    <w:p>
      <w:pPr>
        <w:spacing w:after="0" w:line="193" w:lineRule="exact"/>
        <w:rPr>
          <w:rFonts w:ascii="Times New Roman" w:cs="Times New Roman" w:eastAsia="Times New Roman" w:hAnsi="Times New Roman"/>
          <w:sz w:val="20"/>
          <w:szCs w:val="20"/>
          <w:color w:val="auto"/>
        </w:rPr>
      </w:pPr>
    </w:p>
    <w:p>
      <w:pPr>
        <w:ind w:left="-6" w:firstLine="6"/>
        <w:spacing w:after="0" w:line="264" w:lineRule="auto"/>
        <w:tabs>
          <w:tab w:leader="none" w:pos="57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headings in this Agreement are included herein for convenience of reference only and shall not constitute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any other purpose.</w:t>
      </w:r>
    </w:p>
    <w:p>
      <w:pPr>
        <w:spacing w:after="0" w:line="168" w:lineRule="exact"/>
        <w:rPr>
          <w:rFonts w:ascii="Times New Roman" w:cs="Times New Roman" w:eastAsia="Times New Roman" w:hAnsi="Times New Roman"/>
          <w:sz w:val="20"/>
          <w:szCs w:val="20"/>
          <w:color w:val="auto"/>
        </w:rPr>
      </w:pPr>
    </w:p>
    <w:p>
      <w:pPr>
        <w:ind w:left="-6" w:firstLine="6"/>
        <w:spacing w:after="0" w:line="264" w:lineRule="auto"/>
        <w:tabs>
          <w:tab w:leader="none" w:pos="57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only be amended or modified in writing by the parties hereto, subject to any 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Agreement, if applicable.</w:t>
      </w:r>
    </w:p>
    <w:p>
      <w:pPr>
        <w:spacing w:after="0" w:line="168" w:lineRule="exact"/>
        <w:rPr>
          <w:rFonts w:ascii="Times New Roman" w:cs="Times New Roman" w:eastAsia="Times New Roman" w:hAnsi="Times New Roman"/>
          <w:sz w:val="20"/>
          <w:szCs w:val="20"/>
          <w:color w:val="auto"/>
        </w:rPr>
      </w:pPr>
    </w:p>
    <w:p>
      <w:pPr>
        <w:jc w:val="both"/>
        <w:ind w:left="-6" w:firstLine="6"/>
        <w:spacing w:after="0" w:line="253" w:lineRule="auto"/>
        <w:tabs>
          <w:tab w:leader="none" w:pos="58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LOAN AGREEMENT AND THE OTHER LOAN DOCUMENTS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THE FINAL AGREEMENT BY AND AMONG THE PARTIES HERETO AND MAY NOT BE CONTRADICTED BY EVIDENCE OF PRIOR, CONTEMPORANEOUS, OR SUBSEQUENT ORAL AGREEMENTS OF SUCH PARTIES. THERE ARE NO UNWRITTEN ORAL AGREEMENTS BETWEEN OR AMONG THE PARTIES HERETO.</w:t>
      </w:r>
    </w:p>
    <w:p>
      <w:pPr>
        <w:spacing w:after="0" w:line="192" w:lineRule="exact"/>
        <w:rPr>
          <w:rFonts w:ascii="Times New Roman" w:cs="Times New Roman" w:eastAsia="Times New Roman" w:hAnsi="Times New Roman"/>
          <w:sz w:val="20"/>
          <w:szCs w:val="20"/>
          <w:color w:val="auto"/>
        </w:rPr>
      </w:pPr>
    </w:p>
    <w:p>
      <w:pPr>
        <w:ind w:left="594" w:hanging="594"/>
        <w:spacing w:after="0"/>
        <w:tabs>
          <w:tab w:leader="none" w:pos="59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Consistent Changes</w:t>
      </w:r>
      <w:r>
        <w:rPr>
          <w:rFonts w:ascii="Times New Roman" w:cs="Times New Roman" w:eastAsia="Times New Roman" w:hAnsi="Times New Roman"/>
          <w:sz w:val="18"/>
          <w:szCs w:val="18"/>
          <w:color w:val="auto"/>
        </w:rPr>
        <w:t>. The Loan Agreement is hereby amended wherever necessary to reflect the changes described herein.</w:t>
      </w:r>
    </w:p>
    <w:p>
      <w:pPr>
        <w:spacing w:after="0" w:line="198" w:lineRule="exact"/>
        <w:rPr>
          <w:rFonts w:ascii="Times New Roman" w:cs="Times New Roman" w:eastAsia="Times New Roman" w:hAnsi="Times New Roman"/>
          <w:sz w:val="20"/>
          <w:szCs w:val="20"/>
          <w:color w:val="auto"/>
        </w:rPr>
      </w:pPr>
    </w:p>
    <w:p>
      <w:pPr>
        <w:ind w:left="574" w:hanging="574"/>
        <w:spacing w:after="0"/>
        <w:tabs>
          <w:tab w:leader="none" w:pos="57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Release by Borrower.</w:t>
      </w:r>
    </w:p>
    <w:p>
      <w:pPr>
        <w:spacing w:after="0" w:line="190" w:lineRule="exact"/>
        <w:rPr>
          <w:sz w:val="20"/>
          <w:szCs w:val="20"/>
          <w:color w:val="auto"/>
        </w:rPr>
      </w:pPr>
    </w:p>
    <w:p>
      <w:pPr>
        <w:jc w:val="both"/>
        <w:ind w:left="-6" w:firstLine="6"/>
        <w:spacing w:after="0" w:line="253" w:lineRule="auto"/>
        <w:tabs>
          <w:tab w:leader="none" w:pos="5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AND VALUABLE CONSIDERATION, Borrower hereby forever relieves, releases, and discharges Bank and its present or former employees, officers, directors, agents, representatives, attorneys, and each of them, from any and all (in each case, relating to, or arising out of, the Loan Documents or the transactions contemplated thereby)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(in each case, relating to, or arising out of, the Loan Documents or the transactions contemplated thereby) existing or arising from the beginning of time through and including the date of execution of this Agreement (collectively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Without limiting the foregoing,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94"/>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654"/>
          </w:cols>
          <w:pgMar w:left="906" w:top="1294" w:right="339" w:bottom="1440" w:gutter="0" w:footer="0" w:header="0"/>
        </w:sectPr>
      </w:pPr>
    </w:p>
    <w:bookmarkStart w:id="240" w:name="page241"/>
    <w:bookmarkEnd w:id="240"/>
    <w:p>
      <w:pPr>
        <w:jc w:val="both"/>
        <w:spacing w:after="0" w:line="256" w:lineRule="auto"/>
        <w:rPr>
          <w:sz w:val="20"/>
          <w:szCs w:val="20"/>
          <w:color w:val="auto"/>
        </w:rPr>
      </w:pPr>
      <w:r>
        <w:rPr>
          <w:rFonts w:ascii="Times New Roman" w:cs="Times New Roman" w:eastAsia="Times New Roman" w:hAnsi="Times New Roman"/>
          <w:sz w:val="18"/>
          <w:szCs w:val="18"/>
          <w:color w:val="auto"/>
        </w:rPr>
        <w:t>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Notwithstanding anything in this Agreement, the releases set forth in this Agreement shall not extend to any of Bank’s obligations under the Loan Agreement arising after the date of this Agreement, including to make extensions of credit to Borrower in accordance with the terms of the Loan Agreement.</w:t>
      </w:r>
    </w:p>
    <w:p>
      <w:pPr>
        <w:spacing w:after="0" w:line="194" w:lineRule="exact"/>
        <w:rPr>
          <w:sz w:val="20"/>
          <w:szCs w:val="20"/>
          <w:color w:val="auto"/>
        </w:rPr>
      </w:pPr>
    </w:p>
    <w:p>
      <w:pPr>
        <w:ind w:firstLine="6"/>
        <w:spacing w:after="0" w:line="286" w:lineRule="auto"/>
        <w:tabs>
          <w:tab w:leader="none" w:pos="5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this release, Borrower expressly acknowledges and waives any and all rights under Section 1542 of the California Civil Code, which provides as follows:</w:t>
      </w:r>
    </w:p>
    <w:p>
      <w:pPr>
        <w:spacing w:after="0" w:line="127" w:lineRule="exact"/>
        <w:rPr>
          <w:sz w:val="20"/>
          <w:szCs w:val="20"/>
          <w:color w:val="auto"/>
        </w:rPr>
      </w:pPr>
    </w:p>
    <w:p>
      <w:pPr>
        <w:jc w:val="both"/>
        <w:ind w:left="600" w:firstLine="35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 general release</w:t>
      </w:r>
      <w:r>
        <w:rPr>
          <w:rFonts w:ascii="Times New Roman" w:cs="Times New Roman" w:eastAsia="Times New Roman" w:hAnsi="Times New Roman"/>
          <w:sz w:val="18"/>
          <w:szCs w:val="18"/>
          <w:color w:val="auto"/>
        </w:rPr>
        <w:t xml:space="preserve"> 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spacing w:after="0" w:line="161" w:lineRule="exact"/>
        <w:rPr>
          <w:sz w:val="20"/>
          <w:szCs w:val="20"/>
          <w:color w:val="auto"/>
        </w:rPr>
      </w:pPr>
    </w:p>
    <w:p>
      <w:pPr>
        <w:jc w:val="both"/>
        <w:ind w:firstLine="6"/>
        <w:spacing w:after="0" w:line="256" w:lineRule="auto"/>
        <w:tabs>
          <w:tab w:leader="none" w:pos="5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Released Claims,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80" w:lineRule="exact"/>
        <w:rPr>
          <w:rFonts w:ascii="Times New Roman" w:cs="Times New Roman" w:eastAsia="Times New Roman" w:hAnsi="Times New Roman"/>
          <w:sz w:val="18"/>
          <w:szCs w:val="18"/>
          <w:color w:val="auto"/>
        </w:rPr>
      </w:pPr>
    </w:p>
    <w:p>
      <w:pPr>
        <w:jc w:val="both"/>
        <w:ind w:firstLine="6"/>
        <w:spacing w:after="0" w:line="261" w:lineRule="auto"/>
        <w:tabs>
          <w:tab w:leader="none" w:pos="58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Bank to enter into this Agreement, and that Bank would not have done so but for Bank’s expectation that such release is valid and enforceable in all events.</w:t>
      </w:r>
    </w:p>
    <w:p>
      <w:pPr>
        <w:spacing w:after="0" w:line="177" w:lineRule="exact"/>
        <w:rPr>
          <w:rFonts w:ascii="Times New Roman" w:cs="Times New Roman" w:eastAsia="Times New Roman" w:hAnsi="Times New Roman"/>
          <w:sz w:val="18"/>
          <w:szCs w:val="18"/>
          <w:color w:val="auto"/>
        </w:rPr>
      </w:pPr>
    </w:p>
    <w:p>
      <w:pPr>
        <w:ind w:left="580" w:hanging="574"/>
        <w:spacing w:after="0"/>
        <w:tabs>
          <w:tab w:leader="none" w:pos="5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represents and warrants to Bank, and Bank is relying thereon, as follows:</w:t>
      </w:r>
    </w:p>
    <w:p>
      <w:pPr>
        <w:spacing w:after="0" w:line="27" w:lineRule="exact"/>
        <w:rPr>
          <w:sz w:val="20"/>
          <w:szCs w:val="20"/>
          <w:color w:val="auto"/>
        </w:rPr>
      </w:pPr>
    </w:p>
    <w:p>
      <w:pPr>
        <w:ind w:firstLine="493"/>
        <w:spacing w:after="0" w:line="271" w:lineRule="auto"/>
        <w:rPr>
          <w:sz w:val="20"/>
          <w:szCs w:val="20"/>
          <w:color w:val="auto"/>
        </w:rPr>
      </w:pPr>
      <w:r>
        <w:rPr>
          <w:rFonts w:ascii="Times New Roman" w:cs="Times New Roman" w:eastAsia="Times New Roman" w:hAnsi="Times New Roman"/>
          <w:sz w:val="18"/>
          <w:szCs w:val="18"/>
          <w:color w:val="auto"/>
        </w:rPr>
        <w:t>i.Except as expressly stated in this Agreement, neither Bank nor any agent, employee or representative of Bank has made any statement or representation to Borrower regarding any fact relied upon by Borrower in entering into this Agreement.</w:t>
      </w:r>
    </w:p>
    <w:p>
      <w:pPr>
        <w:spacing w:after="0" w:line="143" w:lineRule="exact"/>
        <w:rPr>
          <w:sz w:val="20"/>
          <w:szCs w:val="20"/>
          <w:color w:val="auto"/>
        </w:rPr>
      </w:pPr>
    </w:p>
    <w:p>
      <w:pPr>
        <w:ind w:firstLine="443"/>
        <w:spacing w:after="0" w:line="286" w:lineRule="auto"/>
        <w:rPr>
          <w:sz w:val="20"/>
          <w:szCs w:val="20"/>
          <w:color w:val="auto"/>
        </w:rPr>
      </w:pPr>
      <w:r>
        <w:rPr>
          <w:rFonts w:ascii="Times New Roman" w:cs="Times New Roman" w:eastAsia="Times New Roman" w:hAnsi="Times New Roman"/>
          <w:sz w:val="18"/>
          <w:szCs w:val="18"/>
          <w:color w:val="auto"/>
        </w:rPr>
        <w:t>ii.Borrower has made such investigation of the facts pertaining to this Agreement and all of the matters appertaining thereto, as it deems necessary.</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iii.The terms of this Agreement are contractual and not a mere recital.</w:t>
      </w:r>
    </w:p>
    <w:p>
      <w:pPr>
        <w:spacing w:after="0" w:line="209" w:lineRule="exact"/>
        <w:rPr>
          <w:sz w:val="20"/>
          <w:szCs w:val="20"/>
          <w:color w:val="auto"/>
        </w:rPr>
      </w:pPr>
    </w:p>
    <w:p>
      <w:pPr>
        <w:ind w:firstLine="403"/>
        <w:spacing w:after="0" w:line="286" w:lineRule="auto"/>
        <w:rPr>
          <w:sz w:val="20"/>
          <w:szCs w:val="20"/>
          <w:color w:val="auto"/>
        </w:rPr>
      </w:pPr>
      <w:r>
        <w:rPr>
          <w:rFonts w:ascii="Times New Roman" w:cs="Times New Roman" w:eastAsia="Times New Roman" w:hAnsi="Times New Roman"/>
          <w:sz w:val="18"/>
          <w:szCs w:val="18"/>
          <w:color w:val="auto"/>
        </w:rPr>
        <w:t>iv.This Agreement has been carefully read by Borrower, the contents hereof are known and understood by Borrower, and this Agreement is signed freely, and without duress,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660"/>
          </w:cols>
          <w:pgMar w:left="900" w:top="1294" w:right="339" w:bottom="1440" w:gutter="0" w:footer="0" w:header="0"/>
        </w:sectPr>
      </w:pPr>
    </w:p>
    <w:bookmarkStart w:id="241" w:name="page242"/>
    <w:bookmarkEnd w:id="241"/>
    <w:p>
      <w:pPr>
        <w:jc w:val="both"/>
        <w:ind w:firstLine="453"/>
        <w:spacing w:after="0" w:line="261" w:lineRule="auto"/>
        <w:rPr>
          <w:sz w:val="20"/>
          <w:szCs w:val="20"/>
          <w:color w:val="auto"/>
        </w:rPr>
      </w:pPr>
      <w:r>
        <w:rPr>
          <w:rFonts w:ascii="Times New Roman" w:cs="Times New Roman" w:eastAsia="Times New Roman" w:hAnsi="Times New Roman"/>
          <w:sz w:val="18"/>
          <w:szCs w:val="18"/>
          <w:color w:val="auto"/>
        </w:rPr>
        <w:t>v.Borrower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spacing w:after="0" w:line="15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660"/>
          </w:cols>
          <w:pgMar w:left="900" w:top="1294" w:right="339" w:bottom="1440" w:gutter="0" w:footer="0" w:header="0"/>
        </w:sectPr>
      </w:pPr>
    </w:p>
    <w:bookmarkStart w:id="242" w:name="page243"/>
    <w:bookmarkEnd w:id="242"/>
    <w:p>
      <w:pPr>
        <w:ind w:firstLine="179"/>
        <w:spacing w:after="0" w:line="286"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37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0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SONDER HOLDINGS INC</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85" w:lineRule="exact"/>
        <w:rPr>
          <w:sz w:val="20"/>
          <w:szCs w:val="20"/>
          <w:color w:val="auto"/>
        </w:rPr>
      </w:pPr>
    </w:p>
    <w:p>
      <w:pPr>
        <w:ind w:left="3520"/>
        <w:spacing w:after="0"/>
        <w:tabs>
          <w:tab w:leader="none" w:pos="4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-8890</wp:posOffset>
            </wp:positionV>
            <wp:extent cx="104775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7" w:lineRule="exact"/>
        <w:rPr>
          <w:sz w:val="20"/>
          <w:szCs w:val="20"/>
          <w:color w:val="auto"/>
        </w:rPr>
      </w:pPr>
    </w:p>
    <w:p>
      <w:pPr>
        <w:ind w:left="3520"/>
        <w:spacing w:after="0"/>
        <w:tabs>
          <w:tab w:leader="none" w:pos="41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3520"/>
        <w:spacing w:after="0"/>
        <w:tabs>
          <w:tab w:leader="none" w:pos="410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SONDER HOLDINGS LLC</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85" w:lineRule="exact"/>
        <w:rPr>
          <w:sz w:val="20"/>
          <w:szCs w:val="20"/>
          <w:color w:val="auto"/>
        </w:rPr>
      </w:pPr>
    </w:p>
    <w:p>
      <w:pPr>
        <w:ind w:left="3520"/>
        <w:spacing w:after="0"/>
        <w:tabs>
          <w:tab w:leader="none" w:pos="4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-8890</wp:posOffset>
            </wp:positionV>
            <wp:extent cx="10477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7" w:lineRule="exact"/>
        <w:rPr>
          <w:sz w:val="20"/>
          <w:szCs w:val="20"/>
          <w:color w:val="auto"/>
        </w:rPr>
      </w:pPr>
    </w:p>
    <w:p>
      <w:pPr>
        <w:ind w:left="3520"/>
        <w:spacing w:after="0"/>
        <w:tabs>
          <w:tab w:leader="none" w:pos="41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3520"/>
        <w:spacing w:after="0"/>
        <w:tabs>
          <w:tab w:leader="none" w:pos="410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SONDER GROUP HOLDINGS LLC</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85" w:lineRule="exact"/>
        <w:rPr>
          <w:sz w:val="20"/>
          <w:szCs w:val="20"/>
          <w:color w:val="auto"/>
        </w:rPr>
      </w:pPr>
    </w:p>
    <w:p>
      <w:pPr>
        <w:ind w:left="3520"/>
        <w:spacing w:after="0"/>
        <w:tabs>
          <w:tab w:leader="none" w:pos="4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-8890</wp:posOffset>
            </wp:positionV>
            <wp:extent cx="104775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7" w:lineRule="exact"/>
        <w:rPr>
          <w:sz w:val="20"/>
          <w:szCs w:val="20"/>
          <w:color w:val="auto"/>
        </w:rPr>
      </w:pPr>
    </w:p>
    <w:p>
      <w:pPr>
        <w:ind w:left="3520"/>
        <w:spacing w:after="0"/>
        <w:tabs>
          <w:tab w:leader="none" w:pos="41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3520"/>
        <w:spacing w:after="0"/>
        <w:tabs>
          <w:tab w:leader="none" w:pos="410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SONDER TECHNOLOGY INC</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85" w:lineRule="exact"/>
        <w:rPr>
          <w:sz w:val="20"/>
          <w:szCs w:val="20"/>
          <w:color w:val="auto"/>
        </w:rPr>
      </w:pPr>
    </w:p>
    <w:p>
      <w:pPr>
        <w:ind w:left="3520"/>
        <w:spacing w:after="0"/>
        <w:tabs>
          <w:tab w:leader="none" w:pos="4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-8890</wp:posOffset>
            </wp:positionV>
            <wp:extent cx="10477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1" w:lineRule="exact"/>
        <w:rPr>
          <w:sz w:val="20"/>
          <w:szCs w:val="20"/>
          <w:color w:val="auto"/>
        </w:rPr>
      </w:pPr>
    </w:p>
    <w:p>
      <w:pPr>
        <w:ind w:left="3520"/>
        <w:spacing w:after="0"/>
        <w:tabs>
          <w:tab w:leader="none" w:pos="41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7" w:lineRule="exact"/>
        <w:rPr>
          <w:sz w:val="20"/>
          <w:szCs w:val="20"/>
          <w:color w:val="auto"/>
        </w:rPr>
      </w:pPr>
    </w:p>
    <w:p>
      <w:pPr>
        <w:ind w:left="3520"/>
        <w:spacing w:after="0"/>
        <w:tabs>
          <w:tab w:leader="none" w:pos="410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[Signature Page to Waiver Agreement]</w:t>
      </w:r>
    </w:p>
    <w:p>
      <w:pPr>
        <w:sectPr>
          <w:pgSz w:w="11900" w:h="16838" w:orient="portrait"/>
          <w:cols w:equalWidth="0" w:num="1">
            <w:col w:w="10940"/>
          </w:cols>
          <w:pgMar w:left="320" w:top="1294" w:right="639" w:bottom="1440" w:gutter="0" w:footer="0" w:header="0"/>
        </w:sectPr>
      </w:pPr>
    </w:p>
    <w:bookmarkStart w:id="243" w:name="page244"/>
    <w:bookmarkEnd w:id="243"/>
    <w:p>
      <w:pPr>
        <w:ind w:left="2400"/>
        <w:spacing w:after="0"/>
        <w:rPr>
          <w:sz w:val="20"/>
          <w:szCs w:val="20"/>
          <w:color w:val="auto"/>
        </w:rPr>
      </w:pPr>
      <w:r>
        <w:rPr>
          <w:rFonts w:ascii="Times New Roman" w:cs="Times New Roman" w:eastAsia="Times New Roman" w:hAnsi="Times New Roman"/>
          <w:sz w:val="18"/>
          <w:szCs w:val="18"/>
          <w:b w:val="1"/>
          <w:bCs w:val="1"/>
          <w:color w:val="auto"/>
        </w:rPr>
        <w:t>SONDER HOSPITALITY USA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79" w:lineRule="exact"/>
        <w:rPr>
          <w:sz w:val="20"/>
          <w:szCs w:val="20"/>
          <w:color w:val="auto"/>
        </w:rPr>
      </w:pPr>
    </w:p>
    <w:p>
      <w:pPr>
        <w:ind w:left="2400"/>
        <w:spacing w:after="0"/>
        <w:tabs>
          <w:tab w:leader="none" w:pos="2860" w:val="left"/>
        </w:tabs>
        <w:rPr>
          <w:sz w:val="20"/>
          <w:szCs w:val="20"/>
          <w:color w:val="auto"/>
        </w:rPr>
      </w:pPr>
      <w:r>
        <w:rPr>
          <w:rFonts w:ascii="Times New Roman" w:cs="Times New Roman" w:eastAsia="Times New Roman" w:hAnsi="Times New Roman"/>
          <w:sz w:val="18"/>
          <w:szCs w:val="18"/>
          <w:color w:val="auto"/>
        </w:rPr>
        <w:t>By:</w:t>
        <w:tab/>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-8890</wp:posOffset>
            </wp:positionV>
            <wp:extent cx="101917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7"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2400"/>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SONDER USA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79" w:lineRule="exact"/>
        <w:rPr>
          <w:sz w:val="20"/>
          <w:szCs w:val="20"/>
          <w:color w:val="auto"/>
        </w:rPr>
      </w:pPr>
    </w:p>
    <w:p>
      <w:pPr>
        <w:ind w:left="2400"/>
        <w:spacing w:after="0"/>
        <w:tabs>
          <w:tab w:leader="none" w:pos="2860" w:val="left"/>
        </w:tabs>
        <w:rPr>
          <w:sz w:val="20"/>
          <w:szCs w:val="20"/>
          <w:color w:val="auto"/>
        </w:rPr>
      </w:pPr>
      <w:r>
        <w:rPr>
          <w:rFonts w:ascii="Times New Roman" w:cs="Times New Roman" w:eastAsia="Times New Roman" w:hAnsi="Times New Roman"/>
          <w:sz w:val="18"/>
          <w:szCs w:val="18"/>
          <w:color w:val="auto"/>
        </w:rPr>
        <w:t>By:</w:t>
        <w:tab/>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-8890</wp:posOffset>
            </wp:positionV>
            <wp:extent cx="101917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7"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2400"/>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SONDER HOSPITALITY HOLDINGS LLC</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79" w:lineRule="exact"/>
        <w:rPr>
          <w:sz w:val="20"/>
          <w:szCs w:val="20"/>
          <w:color w:val="auto"/>
        </w:rPr>
      </w:pPr>
    </w:p>
    <w:p>
      <w:pPr>
        <w:ind w:left="2400"/>
        <w:spacing w:after="0"/>
        <w:tabs>
          <w:tab w:leader="none" w:pos="2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-8890</wp:posOffset>
            </wp:positionV>
            <wp:extent cx="10477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7"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2400"/>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SONDER PARTNER CO</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79" w:lineRule="exact"/>
        <w:rPr>
          <w:sz w:val="20"/>
          <w:szCs w:val="20"/>
          <w:color w:val="auto"/>
        </w:rPr>
      </w:pPr>
    </w:p>
    <w:p>
      <w:pPr>
        <w:ind w:left="2400"/>
        <w:spacing w:after="0"/>
        <w:tabs>
          <w:tab w:leader="none" w:pos="2860" w:val="left"/>
        </w:tabs>
        <w:rPr>
          <w:sz w:val="20"/>
          <w:szCs w:val="20"/>
          <w:color w:val="auto"/>
        </w:rPr>
      </w:pPr>
      <w:r>
        <w:rPr>
          <w:rFonts w:ascii="Times New Roman" w:cs="Times New Roman" w:eastAsia="Times New Roman" w:hAnsi="Times New Roman"/>
          <w:sz w:val="18"/>
          <w:szCs w:val="18"/>
          <w:color w:val="auto"/>
        </w:rPr>
        <w:t>By:</w:t>
        <w:tab/>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-8890</wp:posOffset>
            </wp:positionV>
            <wp:extent cx="101917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1019175" cy="7620"/>
                    </a:xfrm>
                    <a:prstGeom prst="rect">
                      <a:avLst/>
                    </a:prstGeom>
                    <a:noFill/>
                  </pic:spPr>
                </pic:pic>
              </a:graphicData>
            </a:graphic>
          </wp:anchor>
        </w:drawing>
      </w:r>
    </w:p>
    <w:p>
      <w:pPr>
        <w:spacing w:after="0" w:line="7"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2400"/>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38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SONDER GUEST SERVICES LLC</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 Washington limited liability company</w:t>
      </w:r>
    </w:p>
    <w:p>
      <w:pPr>
        <w:spacing w:after="0" w:line="385" w:lineRule="exact"/>
        <w:rPr>
          <w:sz w:val="20"/>
          <w:szCs w:val="20"/>
          <w:color w:val="auto"/>
        </w:rPr>
      </w:pPr>
    </w:p>
    <w:p>
      <w:pPr>
        <w:ind w:left="2400"/>
        <w:spacing w:after="0"/>
        <w:tabs>
          <w:tab w:leader="none" w:pos="2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Alan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-8890</wp:posOffset>
            </wp:positionV>
            <wp:extent cx="10477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1047750" cy="7620"/>
                    </a:xfrm>
                    <a:prstGeom prst="rect">
                      <a:avLst/>
                    </a:prstGeom>
                    <a:noFill/>
                  </pic:spPr>
                </pic:pic>
              </a:graphicData>
            </a:graphic>
          </wp:anchor>
        </w:drawing>
      </w:r>
    </w:p>
    <w:p>
      <w:pPr>
        <w:spacing w:after="0" w:line="7" w:lineRule="exact"/>
        <w:rPr>
          <w:sz w:val="20"/>
          <w:szCs w:val="20"/>
          <w:color w:val="auto"/>
        </w:rPr>
      </w:pPr>
    </w:p>
    <w:p>
      <w:pPr>
        <w:ind w:left="240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Alan Watt</w:t>
      </w:r>
    </w:p>
    <w:p>
      <w:pPr>
        <w:spacing w:after="0" w:line="8" w:lineRule="exact"/>
        <w:rPr>
          <w:sz w:val="20"/>
          <w:szCs w:val="20"/>
          <w:color w:val="auto"/>
        </w:rPr>
      </w:pPr>
    </w:p>
    <w:p>
      <w:pPr>
        <w:ind w:left="2400"/>
        <w:spacing w:after="0"/>
        <w:tabs>
          <w:tab w:leader="none" w:pos="2980" w:val="left"/>
        </w:tabs>
        <w:rPr>
          <w:sz w:val="20"/>
          <w:szCs w:val="20"/>
          <w:color w:val="auto"/>
        </w:rPr>
      </w:pPr>
      <w:r>
        <w:rPr>
          <w:rFonts w:ascii="Times New Roman" w:cs="Times New Roman" w:eastAsia="Times New Roman" w:hAnsi="Times New Roman"/>
          <w:sz w:val="18"/>
          <w:szCs w:val="18"/>
          <w:color w:val="auto"/>
        </w:rPr>
        <w:t>Title:</w:t>
        <w:tab/>
        <w:t>Treasurer / Head of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Waiver Agreement]</w:t>
      </w:r>
    </w:p>
    <w:p>
      <w:pPr>
        <w:sectPr>
          <w:pgSz w:w="11900" w:h="16838" w:orient="portrait"/>
          <w:cols w:equalWidth="0" w:num="1">
            <w:col w:w="9019"/>
          </w:cols>
          <w:pgMar w:left="1440" w:top="1290" w:right="1440" w:bottom="1440" w:gutter="0" w:footer="0" w:header="0"/>
        </w:sectPr>
      </w:pPr>
    </w:p>
    <w:bookmarkStart w:id="244" w:name="page245"/>
    <w:bookmarkEnd w:id="244"/>
    <w:p>
      <w:pPr>
        <w:ind w:left="200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00" w:lineRule="exact"/>
        <w:rPr>
          <w:sz w:val="20"/>
          <w:szCs w:val="20"/>
          <w:color w:val="auto"/>
        </w:rPr>
      </w:pPr>
    </w:p>
    <w:p>
      <w:pPr>
        <w:spacing w:after="0" w:line="205" w:lineRule="exact"/>
        <w:rPr>
          <w:sz w:val="20"/>
          <w:szCs w:val="20"/>
          <w:color w:val="auto"/>
        </w:rPr>
      </w:pPr>
    </w:p>
    <w:p>
      <w:pPr>
        <w:jc w:val="right"/>
        <w:ind w:right="2459"/>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39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By: /s/ Trefor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-8890</wp:posOffset>
            </wp:positionV>
            <wp:extent cx="97028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970280" cy="762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Name: Trefor Bacon</w:t>
      </w:r>
    </w:p>
    <w:p>
      <w:pPr>
        <w:spacing w:after="0" w:line="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Waiver Agreement]</w:t>
      </w:r>
    </w:p>
    <w:p>
      <w:pPr>
        <w:sectPr>
          <w:pgSz w:w="11900" w:h="16838" w:orient="portrait"/>
          <w:cols w:equalWidth="0" w:num="1">
            <w:col w:w="9019"/>
          </w:cols>
          <w:pgMar w:left="1440" w:top="1290" w:right="1440" w:bottom="1440" w:gutter="0" w:footer="0" w:header="0"/>
        </w:sectPr>
      </w:pPr>
    </w:p>
    <w:bookmarkStart w:id="245" w:name="page246"/>
    <w:bookmarkEnd w:id="245"/>
    <w:p>
      <w:pPr>
        <w:jc w:val="center"/>
        <w:ind w:right="338"/>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2" w:hanging="2"/>
        <w:spacing w:after="0" w:line="256" w:lineRule="auto"/>
        <w:tabs>
          <w:tab w:leader="none" w:pos="5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2023 annual audited consolidated financials to be delivered pursuant to Section 5.3(e) of the Loan Agreement (the “</w:t>
      </w:r>
      <w:r>
        <w:rPr>
          <w:rFonts w:ascii="Times New Roman" w:cs="Times New Roman" w:eastAsia="Times New Roman" w:hAnsi="Times New Roman"/>
          <w:sz w:val="18"/>
          <w:szCs w:val="18"/>
          <w:u w:val="single" w:color="auto"/>
          <w:color w:val="auto"/>
        </w:rPr>
        <w:t>2023 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are delivered by September 30, 2024, any failure of Borrower to deliver an unqualified opinion with respect to the 2023 Audited Financial Statements as required under Section 5.3(e) of the Loan Agreement (for avoidance of doubt, the 2023 Audited Financial Statements shall be permitted to be delivered with a “going concern” qualification) (the “</w:t>
      </w:r>
      <w:r>
        <w:rPr>
          <w:rFonts w:ascii="Times New Roman" w:cs="Times New Roman" w:eastAsia="Times New Roman" w:hAnsi="Times New Roman"/>
          <w:sz w:val="18"/>
          <w:szCs w:val="18"/>
          <w:u w:val="single" w:color="auto"/>
          <w:color w:val="auto"/>
        </w:rPr>
        <w:t>Going Concern Waiver</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2" w:hanging="2"/>
        <w:spacing w:after="0" w:line="286" w:lineRule="auto"/>
        <w:tabs>
          <w:tab w:leader="none" w:pos="5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occurring under Section 7.6 and 7.14 of the Loan Agreement solely as a result of the Going Concern Waiver (the “</w:t>
      </w:r>
      <w:r>
        <w:rPr>
          <w:rFonts w:ascii="Times New Roman" w:cs="Times New Roman" w:eastAsia="Times New Roman" w:hAnsi="Times New Roman"/>
          <w:sz w:val="18"/>
          <w:szCs w:val="18"/>
          <w:u w:val="single" w:color="auto"/>
          <w:color w:val="auto"/>
        </w:rPr>
        <w:t>NPA Cross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w:t>
      </w:r>
    </w:p>
    <w:p>
      <w:pPr>
        <w:sectPr>
          <w:pgSz w:w="11900" w:h="16838" w:orient="portrait"/>
          <w:cols w:equalWidth="0" w:num="1">
            <w:col w:w="11242"/>
          </w:cols>
          <w:pgMar w:left="318" w:top="1290"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0" w:type="dxa"/>
            <w:vAlign w:val="bottom"/>
            <w:gridSpan w:val="2"/>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8"/>
              </w:rPr>
              <w:t>SONDER HOLDINGS INC.</w:t>
            </w:r>
          </w:p>
        </w:tc>
      </w:tr>
      <w:tr>
        <w:trPr>
          <w:trHeight w:val="233"/>
        </w:trPr>
        <w:tc>
          <w:tcPr>
            <w:tcW w:w="2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0" w:type="dxa"/>
            <w:vAlign w:val="bottom"/>
            <w:gridSpan w:val="2"/>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7"/>
              </w:rPr>
              <w:t>SUBSIDIARIES</w:t>
            </w:r>
          </w:p>
        </w:tc>
      </w:tr>
      <w:tr>
        <w:trPr>
          <w:trHeight w:val="259"/>
        </w:trPr>
        <w:tc>
          <w:tcPr>
            <w:tcW w:w="2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0" w:type="dxa"/>
            <w:vAlign w:val="bottom"/>
            <w:gridSpan w:val="2"/>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7"/>
              </w:rPr>
              <w:t>As of December 31, 2023</w:t>
            </w:r>
          </w:p>
        </w:tc>
      </w:tr>
      <w:tr>
        <w:trPr>
          <w:trHeight w:val="420"/>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Subsidiaries of the Registrant</w:t>
            </w:r>
          </w:p>
        </w:tc>
        <w:tc>
          <w:tcPr>
            <w:tcW w:w="1440" w:type="dxa"/>
            <w:vAlign w:val="bottom"/>
          </w:tcPr>
          <w:p>
            <w:pPr>
              <w:spacing w:after="0"/>
              <w:rPr>
                <w:sz w:val="24"/>
                <w:szCs w:val="24"/>
                <w:color w:val="auto"/>
              </w:rPr>
            </w:pP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r>
      <w:tr>
        <w:trPr>
          <w:trHeight w:val="20"/>
        </w:trPr>
        <w:tc>
          <w:tcPr>
            <w:tcW w:w="20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Hospitalité Sonder Canada Inc.</w:t>
            </w:r>
          </w:p>
        </w:tc>
        <w:tc>
          <w:tcPr>
            <w:tcW w:w="1440" w:type="dxa"/>
            <w:vAlign w:val="bottom"/>
          </w:tcPr>
          <w:p>
            <w:pPr>
              <w:spacing w:after="0"/>
              <w:rPr>
                <w:sz w:val="19"/>
                <w:szCs w:val="19"/>
                <w:color w:val="auto"/>
              </w:rPr>
            </w:pP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Quebec, Canada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Canada Inc.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Quebec, Canada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Group B.V.</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Group Holdings LLC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Delaware, USA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Holdings LLC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Delaware, USA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Holiday Homes LLC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Dubai, United Arab Emirates</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Hospitality Spain, S.L.U.</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Spain</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Hospitality UK Ltd</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Hospitality USA Inc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Delaware, USA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International Holdings Ltd</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Italy S.r.l.</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Italy</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Stay Mexico, S. de R.L. de C.V.</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Mexico</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Technology Inc.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Delaware, USA</w:t>
            </w:r>
          </w:p>
        </w:tc>
      </w:tr>
      <w:tr>
        <w:trPr>
          <w:trHeight w:val="211"/>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Sonder USA Inc.</w:t>
            </w:r>
          </w:p>
        </w:tc>
        <w:tc>
          <w:tcPr>
            <w:tcW w:w="5000" w:type="dxa"/>
            <w:vAlign w:val="bottom"/>
            <w:gridSpan w:val="2"/>
          </w:tcPr>
          <w:p>
            <w:pPr>
              <w:ind w:left="1920"/>
              <w:spacing w:after="0"/>
              <w:rPr>
                <w:sz w:val="20"/>
                <w:szCs w:val="20"/>
                <w:color w:val="auto"/>
              </w:rPr>
            </w:pPr>
            <w:r>
              <w:rPr>
                <w:rFonts w:ascii="Times New Roman" w:cs="Times New Roman" w:eastAsia="Times New Roman" w:hAnsi="Times New Roman"/>
                <w:sz w:val="16"/>
                <w:szCs w:val="16"/>
                <w:color w:val="auto"/>
              </w:rPr>
              <w:t>Delaware, USA</w:t>
            </w:r>
          </w:p>
        </w:tc>
      </w:tr>
    </w:tbl>
    <w:p>
      <w:pPr>
        <w:spacing w:after="0" w:line="278"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Pursuant to Item 601(b)(21)(ii) of Regulation S-K, the names of other subsidiaries of Sonder Holdings Inc. are omitted because, considered in the aggregate, they would not constitute a significant subsidiary as of the end of latest fiscal year.</w:t>
      </w:r>
    </w:p>
    <w:p>
      <w:pPr>
        <w:sectPr>
          <w:pgSz w:w="11900" w:h="16838" w:orient="portrait"/>
          <w:cols w:equalWidth="0" w:num="1">
            <w:col w:w="11260"/>
          </w:cols>
          <w:pgMar w:left="320" w:top="119"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ind w:right="240"/>
        <w:spacing w:after="0" w:line="30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333-263914, 333-274200, and 333- 270705 on Form S-8 and Registration Statement No. 333-262438 on Form S-3 of our report dated September 26, 2024, relating to the financial statements of Sonder Holdings Inc. appearing in this Annual Report on Form 10-K for the year ended December 31, 2023.</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2024</w:t>
      </w:r>
    </w:p>
    <w:p>
      <w:pPr>
        <w:sectPr>
          <w:pgSz w:w="11900" w:h="16838" w:orient="portrait"/>
          <w:cols w:equalWidth="0" w:num="1">
            <w:col w:w="11260"/>
          </w:cols>
          <w:pgMar w:left="320" w:top="837"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Francis Davidson, certify that:</w:t>
      </w:r>
    </w:p>
    <w:p>
      <w:pPr>
        <w:spacing w:after="0" w:line="110" w:lineRule="exact"/>
        <w:rPr>
          <w:sz w:val="20"/>
          <w:szCs w:val="20"/>
          <w:color w:val="auto"/>
        </w:rPr>
      </w:pPr>
    </w:p>
    <w:p>
      <w:pPr>
        <w:ind w:left="580" w:hanging="288"/>
        <w:spacing w:after="0"/>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for the year ended December 31, 2023 of Sonder Holdings Inc. (the “Registrant”);</w:t>
      </w:r>
    </w:p>
    <w:p>
      <w:pPr>
        <w:spacing w:after="0" w:line="109"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6"/>
          <w:szCs w:val="16"/>
          <w:color w:val="auto"/>
        </w:rPr>
      </w:pPr>
    </w:p>
    <w:p>
      <w:pPr>
        <w:jc w:val="both"/>
        <w:ind w:left="580" w:right="20" w:hanging="288"/>
        <w:spacing w:after="0" w:line="218" w:lineRule="exact"/>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6"/>
          <w:szCs w:val="16"/>
          <w:color w:val="auto"/>
        </w:rPr>
      </w:pPr>
    </w:p>
    <w:p>
      <w:pPr>
        <w:jc w:val="both"/>
        <w:ind w:left="880" w:hanging="294"/>
        <w:spacing w:after="0" w:line="273" w:lineRule="auto"/>
        <w:tabs>
          <w:tab w:leader="none" w:pos="871"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6"/>
          <w:szCs w:val="16"/>
          <w:color w:val="auto"/>
        </w:rPr>
      </w:pPr>
    </w:p>
    <w:p>
      <w:pPr>
        <w:jc w:val="both"/>
        <w:ind w:left="880" w:right="20" w:hanging="294"/>
        <w:spacing w:after="0" w:line="273" w:lineRule="auto"/>
        <w:tabs>
          <w:tab w:leader="none" w:pos="88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71"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6"/>
          <w:szCs w:val="16"/>
          <w:color w:val="auto"/>
        </w:rPr>
      </w:pPr>
    </w:p>
    <w:p>
      <w:pPr>
        <w:jc w:val="both"/>
        <w:ind w:left="880" w:right="20" w:hanging="294"/>
        <w:spacing w:after="0" w:line="273" w:lineRule="auto"/>
        <w:tabs>
          <w:tab w:leader="none" w:pos="88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71"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8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 September 26, 2024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Francis Davidson</w:t>
            </w:r>
          </w:p>
        </w:tc>
      </w:tr>
      <w:tr>
        <w:trPr>
          <w:trHeight w:val="197"/>
        </w:trPr>
        <w:tc>
          <w:tcPr>
            <w:tcW w:w="4300" w:type="dxa"/>
            <w:vAlign w:val="bottom"/>
            <w:tcBorders>
              <w:top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Francis Davidson</w:t>
            </w:r>
          </w:p>
        </w:tc>
      </w:tr>
      <w:tr>
        <w:trPr>
          <w:trHeight w:val="208"/>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60"/>
          </w:cols>
          <w:pgMar w:left="320" w:top="1001"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Dominique Bourgault, certify that:</w:t>
      </w:r>
    </w:p>
    <w:p>
      <w:pPr>
        <w:spacing w:after="0" w:line="110" w:lineRule="exact"/>
        <w:rPr>
          <w:sz w:val="20"/>
          <w:szCs w:val="20"/>
          <w:color w:val="auto"/>
        </w:rPr>
      </w:pPr>
    </w:p>
    <w:p>
      <w:pPr>
        <w:ind w:left="580" w:hanging="288"/>
        <w:spacing w:after="0"/>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for the year ended December 31, 2023 of Sonder Holdings Inc. (the “Registrant”);</w:t>
      </w:r>
    </w:p>
    <w:p>
      <w:pPr>
        <w:spacing w:after="0" w:line="109"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6"/>
          <w:szCs w:val="16"/>
          <w:color w:val="auto"/>
        </w:rPr>
      </w:pPr>
    </w:p>
    <w:p>
      <w:pPr>
        <w:jc w:val="both"/>
        <w:ind w:left="580" w:right="20" w:hanging="288"/>
        <w:spacing w:after="0" w:line="218" w:lineRule="exact"/>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250" w:lineRule="exact"/>
        <w:rPr>
          <w:rFonts w:ascii="Times New Roman" w:cs="Times New Roman" w:eastAsia="Times New Roman" w:hAnsi="Times New Roman"/>
          <w:sz w:val="16"/>
          <w:szCs w:val="16"/>
          <w:color w:val="auto"/>
        </w:rPr>
      </w:pPr>
    </w:p>
    <w:p>
      <w:pPr>
        <w:jc w:val="both"/>
        <w:ind w:left="880" w:hanging="294"/>
        <w:spacing w:after="0" w:line="273" w:lineRule="auto"/>
        <w:tabs>
          <w:tab w:leader="none" w:pos="87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6"/>
          <w:szCs w:val="16"/>
          <w:color w:val="auto"/>
        </w:rPr>
      </w:pPr>
    </w:p>
    <w:p>
      <w:pPr>
        <w:jc w:val="both"/>
        <w:ind w:left="880" w:right="20" w:hanging="294"/>
        <w:spacing w:after="0" w:line="273" w:lineRule="auto"/>
        <w:tabs>
          <w:tab w:leader="none" w:pos="8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7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6"/>
          <w:szCs w:val="16"/>
          <w:color w:val="auto"/>
        </w:rPr>
      </w:pPr>
    </w:p>
    <w:p>
      <w:pPr>
        <w:jc w:val="both"/>
        <w:ind w:left="880" w:right="20" w:hanging="294"/>
        <w:spacing w:after="0" w:line="273" w:lineRule="auto"/>
        <w:tabs>
          <w:tab w:leader="none" w:pos="8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Times New Roman" w:cs="Times New Roman" w:eastAsia="Times New Roman" w:hAnsi="Times New Roman"/>
          <w:sz w:val="16"/>
          <w:szCs w:val="16"/>
          <w:color w:val="auto"/>
        </w:rPr>
      </w:pPr>
    </w:p>
    <w:p>
      <w:pPr>
        <w:ind w:left="580" w:right="20" w:hanging="288"/>
        <w:spacing w:after="0" w:line="291" w:lineRule="auto"/>
        <w:tabs>
          <w:tab w:leader="none" w:pos="58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7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6"/>
          <w:szCs w:val="16"/>
          <w:color w:val="auto"/>
        </w:rPr>
      </w:pPr>
    </w:p>
    <w:p>
      <w:pPr>
        <w:ind w:left="880" w:right="20" w:hanging="294"/>
        <w:spacing w:after="0" w:line="291" w:lineRule="auto"/>
        <w:tabs>
          <w:tab w:leader="none" w:pos="8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 September 26, 2024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Dominique Bourgault</w:t>
            </w:r>
          </w:p>
        </w:tc>
      </w:tr>
      <w:tr>
        <w:trPr>
          <w:trHeight w:val="204"/>
        </w:trPr>
        <w:tc>
          <w:tcPr>
            <w:tcW w:w="4300" w:type="dxa"/>
            <w:vAlign w:val="bottom"/>
            <w:tcBorders>
              <w:top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Dominique Bourgault</w:t>
            </w:r>
          </w:p>
        </w:tc>
      </w:tr>
      <w:tr>
        <w:trPr>
          <w:trHeight w:val="299"/>
        </w:trPr>
        <w:tc>
          <w:tcPr>
            <w:tcW w:w="4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1"/>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60"/>
          </w:cols>
          <w:pgMar w:left="320" w:top="927"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1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connection with the Annual Report on Form 10-K of Sonder Holdings Inc. (the “Registrant”) for the year ended December 31, 2023, as filed with the Securities and Exchange Commission on the date hereof (the “Report”), I, Francis Davidson, Chief Executive Officer of the Registrant, hereby certify pursuant to 18 U.S.C. Section 1350, as adopted pursuant to Section 906 of the Sarbanes-Oxley Act of 2002, that:</w:t>
      </w:r>
    </w:p>
    <w:p>
      <w:pPr>
        <w:spacing w:after="0" w:line="180" w:lineRule="exact"/>
        <w:rPr>
          <w:sz w:val="20"/>
          <w:szCs w:val="20"/>
          <w:color w:val="auto"/>
        </w:rPr>
      </w:pPr>
    </w:p>
    <w:p>
      <w:pPr>
        <w:ind w:left="580" w:hanging="288"/>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0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 September 26, 2024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Francis Davidson</w:t>
            </w:r>
          </w:p>
        </w:tc>
      </w:tr>
      <w:tr>
        <w:trPr>
          <w:trHeight w:val="197"/>
        </w:trPr>
        <w:tc>
          <w:tcPr>
            <w:tcW w:w="4300" w:type="dxa"/>
            <w:vAlign w:val="bottom"/>
            <w:tcBorders>
              <w:top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Francis Davidson</w:t>
            </w:r>
          </w:p>
        </w:tc>
      </w:tr>
      <w:tr>
        <w:trPr>
          <w:trHeight w:val="208"/>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60"/>
          </w:cols>
          <w:pgMar w:left="320" w:top="1294"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1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color w:val="auto"/>
        </w:rPr>
        <w:t>In connection with the Annual Report on Form 10-K of Sonder Holdings Inc. (the “Registrant”) for the year ended December 31, 2023, as filed with the Securities and Exchange Commission on the date hereof (the “Report”), I, Dominique Bourgault, Chief Financial Officer of the Registrant, hereby certify pursuant to 18 U.S.C. Section 1350, as adopted pursuant to Section 906 of the Sarbanes-Oxley Act of 2002, that:</w:t>
      </w:r>
    </w:p>
    <w:p>
      <w:pPr>
        <w:spacing w:after="0" w:line="180" w:lineRule="exact"/>
        <w:rPr>
          <w:sz w:val="20"/>
          <w:szCs w:val="20"/>
          <w:color w:val="auto"/>
        </w:rPr>
      </w:pPr>
    </w:p>
    <w:p>
      <w:pPr>
        <w:ind w:left="580" w:hanging="288"/>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09"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Date: September 26, 2024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Dominique Bourgault</w:t>
            </w:r>
          </w:p>
        </w:tc>
      </w:tr>
      <w:tr>
        <w:trPr>
          <w:trHeight w:val="197"/>
        </w:trPr>
        <w:tc>
          <w:tcPr>
            <w:tcW w:w="4300" w:type="dxa"/>
            <w:vAlign w:val="bottom"/>
            <w:tcBorders>
              <w:top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Dominique Bourgault</w:t>
            </w:r>
          </w:p>
        </w:tc>
      </w:tr>
      <w:tr>
        <w:trPr>
          <w:trHeight w:val="208"/>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1"/>
        </w:trPr>
        <w:tc>
          <w:tcPr>
            <w:tcW w:w="4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60"/>
          </w:cols>
          <w:pgMar w:left="320" w:top="1295" w:right="319" w:bottom="1440" w:gutter="0" w:footer="0" w:header="0"/>
        </w:sectPr>
      </w:pPr>
    </w:p>
    <w:bookmarkStart w:id="252" w:name="page253"/>
    <w:bookmarkEnd w:id="252"/>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on August 25, 2023</w:t>
      </w:r>
    </w:p>
    <w:p>
      <w:pPr>
        <w:spacing w:after="0" w:line="169" w:lineRule="exact"/>
        <w:rPr>
          <w:sz w:val="20"/>
          <w:szCs w:val="20"/>
          <w:color w:val="auto"/>
        </w:rPr>
      </w:pPr>
    </w:p>
    <w:p>
      <w:pPr>
        <w:jc w:val="both"/>
        <w:ind w:right="20" w:firstLine="588"/>
        <w:spacing w:after="0" w:line="219" w:lineRule="auto"/>
        <w:rPr>
          <w:sz w:val="20"/>
          <w:szCs w:val="20"/>
          <w:color w:val="auto"/>
        </w:rPr>
      </w:pPr>
      <w:r>
        <w:rPr>
          <w:rFonts w:ascii="Times New Roman" w:cs="Times New Roman" w:eastAsia="Times New Roman" w:hAnsi="Times New Roman"/>
          <w:sz w:val="18"/>
          <w:szCs w:val="18"/>
          <w:color w:val="auto"/>
        </w:rPr>
        <w:t>Sonder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committed to strong corporate governance. As part of this commitment,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adopted this clawback policy called the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The Policy is intended to further the</w:t>
      </w:r>
    </w:p>
    <w:p>
      <w:pPr>
        <w:spacing w:after="0" w:line="214" w:lineRule="auto"/>
        <w:rPr>
          <w:sz w:val="20"/>
          <w:szCs w:val="20"/>
          <w:color w:val="auto"/>
        </w:rPr>
      </w:pPr>
      <w:r>
        <w:rPr>
          <w:rFonts w:ascii="Times New Roman" w:cs="Times New Roman" w:eastAsia="Times New Roman" w:hAnsi="Times New Roman"/>
          <w:sz w:val="18"/>
          <w:szCs w:val="18"/>
          <w:color w:val="auto"/>
        </w:rPr>
        <w:t>Company’s pay-for-performance philosophy and to comply with applicable law by providing for the reasonably prompt recovery of certain executive</w:t>
      </w:r>
    </w:p>
    <w:p>
      <w:pPr>
        <w:jc w:val="both"/>
        <w:ind w:right="20"/>
        <w:spacing w:after="0" w:line="223" w:lineRule="auto"/>
        <w:rPr>
          <w:sz w:val="20"/>
          <w:szCs w:val="20"/>
          <w:color w:val="auto"/>
        </w:rPr>
      </w:pPr>
      <w:r>
        <w:rPr>
          <w:rFonts w:ascii="Times New Roman" w:cs="Times New Roman" w:eastAsia="Times New Roman" w:hAnsi="Times New Roman"/>
          <w:sz w:val="18"/>
          <w:szCs w:val="18"/>
          <w:color w:val="auto"/>
        </w:rPr>
        <w:t>compensation in the event of an Accounting Restatement. Capitalized terms used in the Policy are defined below, and the definitions have substantive impact on its application so reviewing them carefully is important to your understanding.</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Policy, which was approved as set forth above, is intended to comply with Section 10D of the Securities Exchange Act of 1934 (the “</w:t>
      </w:r>
      <w:r>
        <w:rPr>
          <w:rFonts w:ascii="Times New Roman" w:cs="Times New Roman" w:eastAsia="Times New Roman" w:hAnsi="Times New Roman"/>
          <w:sz w:val="17"/>
          <w:szCs w:val="17"/>
          <w:b w:val="1"/>
          <w:bCs w:val="1"/>
          <w:color w:val="auto"/>
        </w:rPr>
        <w:t>Exchange</w:t>
      </w:r>
    </w:p>
    <w:p>
      <w:pPr>
        <w:spacing w:after="0" w:line="12"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with Exchange Act Rule 10D-1 and with the listing standards of the national securities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listed. The Policy will be interpreted in a manner that is consistent with the requirements of Section 10D of the Exchange Act,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10D-1 and with the listing standards of the Exchange, including any interpretive guidance provided by the Exchange.</w:t>
      </w:r>
    </w:p>
    <w:p>
      <w:pPr>
        <w:spacing w:after="0" w:line="140" w:lineRule="exact"/>
        <w:rPr>
          <w:sz w:val="20"/>
          <w:szCs w:val="20"/>
          <w:color w:val="auto"/>
        </w:rPr>
      </w:pPr>
    </w:p>
    <w:p>
      <w:pPr>
        <w:jc w:val="both"/>
        <w:ind w:right="20" w:firstLine="588"/>
        <w:spacing w:after="0" w:line="232" w:lineRule="auto"/>
        <w:rPr>
          <w:sz w:val="20"/>
          <w:szCs w:val="20"/>
          <w:color w:val="auto"/>
        </w:rPr>
      </w:pPr>
      <w:r>
        <w:rPr>
          <w:rFonts w:ascii="Times New Roman" w:cs="Times New Roman" w:eastAsia="Times New Roman" w:hAnsi="Times New Roman"/>
          <w:sz w:val="18"/>
          <w:szCs w:val="18"/>
          <w:color w:val="auto"/>
        </w:rPr>
        <w:t>In summary, the Policy provides rules related to the reasonably prompt recovery of certain incentive-based compensation received by Executive Officers. The application of the Policy to Executive Officers is not discretionary, except to the limited extent provided below, and applies without regard to whether an Executive Officer was at fault.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Covered by the Policy</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262626"/>
        </w:rPr>
        <w:t xml:space="preserve">The </w:t>
      </w:r>
      <w:r>
        <w:rPr>
          <w:rFonts w:ascii="Times New Roman" w:cs="Times New Roman" w:eastAsia="Times New Roman" w:hAnsi="Times New Roman"/>
          <w:sz w:val="18"/>
          <w:szCs w:val="18"/>
          <w:color w:val="000000"/>
        </w:rPr>
        <w:t>Policy</w:t>
      </w:r>
      <w:r>
        <w:rPr>
          <w:rFonts w:ascii="Times New Roman" w:cs="Times New Roman" w:eastAsia="Times New Roman" w:hAnsi="Times New Roman"/>
          <w:sz w:val="18"/>
          <w:szCs w:val="18"/>
          <w:color w:val="262626"/>
        </w:rPr>
        <w:t xml:space="preserve"> is binding and enforceable against all Executive Officers. “</w:t>
      </w:r>
      <w:r>
        <w:rPr>
          <w:rFonts w:ascii="Times New Roman" w:cs="Times New Roman" w:eastAsia="Times New Roman" w:hAnsi="Times New Roman"/>
          <w:sz w:val="18"/>
          <w:szCs w:val="18"/>
          <w:b w:val="1"/>
          <w:bCs w:val="1"/>
          <w:color w:val="262626"/>
        </w:rPr>
        <w:t>Executive Officer</w:t>
      </w:r>
      <w:r>
        <w:rPr>
          <w:rFonts w:ascii="Times New Roman" w:cs="Times New Roman" w:eastAsia="Times New Roman" w:hAnsi="Times New Roman"/>
          <w:sz w:val="18"/>
          <w:szCs w:val="18"/>
          <w:color w:val="262626"/>
        </w:rPr>
        <w:t>” means each individual who is or was ever designated as</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262626"/>
        </w:rPr>
        <w:t>an “officer” by the Board in accordance with Exchange Act Rule 16a-1(f). Each Executive Officer will be required to sign and return to the Company an acknowledgement that such Executive Officer will be bound by the terms and comply with the Policy. The failure to obtain such acknowledgement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62626"/>
        </w:rPr>
        <w:t>have no impact on the applicability or enforceability of the Policy.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Policy</w:t>
      </w:r>
    </w:p>
    <w:p>
      <w:pPr>
        <w:spacing w:after="0" w:line="160" w:lineRule="exact"/>
        <w:rPr>
          <w:sz w:val="20"/>
          <w:szCs w:val="20"/>
          <w:color w:val="auto"/>
        </w:rPr>
      </w:pPr>
    </w:p>
    <w:p>
      <w:pPr>
        <w:jc w:val="both"/>
        <w:ind w:right="20" w:firstLine="588"/>
        <w:spacing w:after="0" w:line="226"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has full delegated authority to administer the Policy. The Committee is authorized to interpret and construe the Policy and to make all determinations necessary, appropriate, or advisable for the administration of the Policy. In addition, if</w:t>
      </w:r>
    </w:p>
    <w:p>
      <w:pPr>
        <w:spacing w:after="0" w:line="1" w:lineRule="exact"/>
        <w:rPr>
          <w:sz w:val="20"/>
          <w:szCs w:val="20"/>
          <w:color w:val="auto"/>
        </w:rPr>
      </w:pP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Board or the other Board committee. All determinations of the Committee will be final and binding and will be given the maximum deference permitted by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Requiring Application of the Policy</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with any financial reporting</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uncorrected in the current period (an “</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then the Committee must determine what compensation, if any, must be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0"/>
          </w:cols>
          <w:pgMar w:left="320" w:top="1440" w:right="319" w:bottom="1440" w:gutter="0" w:footer="0" w:header="0"/>
        </w:sectPr>
      </w:pPr>
    </w:p>
    <w:bookmarkStart w:id="253" w:name="page254"/>
    <w:bookmarkEnd w:id="253"/>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Covered by the Policy</w:t>
      </w:r>
    </w:p>
    <w:p>
      <w:pPr>
        <w:spacing w:after="0" w:line="173" w:lineRule="exact"/>
        <w:rPr>
          <w:sz w:val="20"/>
          <w:szCs w:val="20"/>
          <w:color w:val="auto"/>
        </w:rPr>
      </w:pPr>
    </w:p>
    <w:p>
      <w:pPr>
        <w:jc w:val="both"/>
        <w:ind w:firstLine="588"/>
        <w:spacing w:after="0" w:line="219" w:lineRule="auto"/>
        <w:rPr>
          <w:sz w:val="20"/>
          <w:szCs w:val="20"/>
          <w:color w:val="auto"/>
        </w:rPr>
      </w:pPr>
      <w:r>
        <w:rPr>
          <w:rFonts w:ascii="Times New Roman" w:cs="Times New Roman" w:eastAsia="Times New Roman" w:hAnsi="Times New Roman"/>
          <w:sz w:val="18"/>
          <w:szCs w:val="18"/>
          <w:color w:val="auto"/>
        </w:rPr>
        <w:t xml:space="preserve">The Policy applies to certain </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(certain terms used in this Section are defined below) that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xml:space="preserve"> on or after October 2,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during the </w:t>
      </w:r>
      <w:r>
        <w:rPr>
          <w:rFonts w:ascii="Times New Roman" w:cs="Times New Roman" w:eastAsia="Times New Roman" w:hAnsi="Times New Roman"/>
          <w:sz w:val="18"/>
          <w:szCs w:val="18"/>
          <w:b w:val="1"/>
          <w:bCs w:val="1"/>
          <w:color w:val="auto"/>
        </w:rPr>
        <w:t>Covered Period</w:t>
      </w:r>
      <w:r>
        <w:rPr>
          <w:rFonts w:ascii="Times New Roman" w:cs="Times New Roman" w:eastAsia="Times New Roman" w:hAnsi="Times New Roman"/>
          <w:sz w:val="18"/>
          <w:szCs w:val="18"/>
          <w:color w:val="auto"/>
        </w:rPr>
        <w:t xml:space="preserve"> while the Company has a class of securities listed on a national securities exchange.</w:t>
      </w:r>
    </w:p>
    <w:p>
      <w:pPr>
        <w:spacing w:after="0" w:line="214" w:lineRule="auto"/>
        <w:rPr>
          <w:sz w:val="20"/>
          <w:szCs w:val="20"/>
          <w:color w:val="auto"/>
        </w:rPr>
      </w:pPr>
      <w:r>
        <w:rPr>
          <w:rFonts w:ascii="Times New Roman" w:cs="Times New Roman" w:eastAsia="Times New Roman" w:hAnsi="Times New Roman"/>
          <w:sz w:val="18"/>
          <w:szCs w:val="18"/>
          <w:color w:val="auto"/>
        </w:rPr>
        <w:t>Such Incentive-Based Compensation is considered “</w:t>
      </w:r>
      <w:r>
        <w:rPr>
          <w:rFonts w:ascii="Times New Roman" w:cs="Times New Roman" w:eastAsia="Times New Roman" w:hAnsi="Times New Roman"/>
          <w:sz w:val="18"/>
          <w:szCs w:val="18"/>
          <w:b w:val="1"/>
          <w:bCs w:val="1"/>
          <w:color w:val="auto"/>
        </w:rPr>
        <w:t>Clawback Eligible Incentive-Based Compensation</w:t>
      </w:r>
      <w:r>
        <w:rPr>
          <w:rFonts w:ascii="Times New Roman" w:cs="Times New Roman" w:eastAsia="Times New Roman" w:hAnsi="Times New Roman"/>
          <w:sz w:val="18"/>
          <w:szCs w:val="18"/>
          <w:color w:val="auto"/>
        </w:rPr>
        <w:t>” if the Incentive-Based Compensation is</w:t>
      </w:r>
    </w:p>
    <w:p>
      <w:pPr>
        <w:spacing w:after="0" w:line="205" w:lineRule="auto"/>
        <w:rPr>
          <w:sz w:val="20"/>
          <w:szCs w:val="20"/>
          <w:color w:val="auto"/>
        </w:rPr>
      </w:pPr>
      <w:r>
        <w:rPr>
          <w:rFonts w:ascii="Times New Roman" w:cs="Times New Roman" w:eastAsia="Times New Roman" w:hAnsi="Times New Roman"/>
          <w:sz w:val="18"/>
          <w:szCs w:val="18"/>
          <w:color w:val="auto"/>
        </w:rPr>
        <w:t>Received by a person after such person became an Executive Officer and the person served as an Executive Officer at any time during the performance period for the Incentive-Based Compensation. The Incentive-Based Compensation that must be recovered is the amount of Clawback Eligible Incentive-</w:t>
      </w:r>
    </w:p>
    <w:p>
      <w:pPr>
        <w:spacing w:after="0" w:line="214" w:lineRule="auto"/>
        <w:rPr>
          <w:sz w:val="20"/>
          <w:szCs w:val="20"/>
          <w:color w:val="auto"/>
        </w:rPr>
      </w:pPr>
      <w:r>
        <w:rPr>
          <w:rFonts w:ascii="Times New Roman" w:cs="Times New Roman" w:eastAsia="Times New Roman" w:hAnsi="Times New Roman"/>
          <w:sz w:val="18"/>
          <w:szCs w:val="18"/>
          <w:color w:val="auto"/>
        </w:rPr>
        <w:t>Based Compensation that exceeds the amount of Clawback Eligible Incentive-Based Compensation that otherwise would have been Received had such</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Clawback Eligible Incentive-Based Compensation been determined based on the restated amounts (such compensation, as computed without regard to any taxes paid, the “</w:t>
      </w:r>
      <w:r>
        <w:rPr>
          <w:rFonts w:ascii="Times New Roman" w:cs="Times New Roman" w:eastAsia="Times New Roman" w:hAnsi="Times New Roman"/>
          <w:sz w:val="18"/>
          <w:szCs w:val="18"/>
          <w:b w:val="1"/>
          <w:bCs w:val="1"/>
          <w:color w:val="auto"/>
        </w:rPr>
        <w:t>Excess Compensation</w:t>
      </w:r>
      <w:r>
        <w:rPr>
          <w:rFonts w:ascii="Times New Roman" w:cs="Times New Roman" w:eastAsia="Times New Roman" w:hAnsi="Times New Roman"/>
          <w:sz w:val="18"/>
          <w:szCs w:val="18"/>
          <w:color w:val="auto"/>
        </w:rPr>
        <w:t>,” is referred to in the listings standards as “erroneously awarded incentive-based compensation”).</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determine the amount of Excess Compensation for Incentive-Based Compensation based on stock price or total shareholder return, where it is</w:t>
      </w:r>
    </w:p>
    <w:p>
      <w:pPr>
        <w:spacing w:after="0" w:line="205" w:lineRule="auto"/>
        <w:rPr>
          <w:sz w:val="20"/>
          <w:szCs w:val="20"/>
          <w:color w:val="auto"/>
        </w:rPr>
      </w:pPr>
      <w:r>
        <w:rPr>
          <w:rFonts w:ascii="Times New Roman" w:cs="Times New Roman" w:eastAsia="Times New Roman" w:hAnsi="Times New Roman"/>
          <w:sz w:val="18"/>
          <w:szCs w:val="18"/>
          <w:color w:val="auto"/>
        </w:rPr>
        <w:t>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must maintain documentation of the determination of that reasonable estimate and provide such documentation to the Exchange.</w:t>
      </w:r>
    </w:p>
    <w:p>
      <w:pPr>
        <w:spacing w:after="0" w:line="149" w:lineRule="exact"/>
        <w:rPr>
          <w:sz w:val="20"/>
          <w:szCs w:val="20"/>
          <w:color w:val="auto"/>
        </w:rPr>
      </w:pPr>
    </w:p>
    <w:p>
      <w:pPr>
        <w:ind w:firstLine="58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right to recover under the Policy has lapsed.</w:t>
      </w:r>
    </w:p>
    <w:p>
      <w:pPr>
        <w:spacing w:after="0" w:line="153" w:lineRule="exact"/>
        <w:rPr>
          <w:sz w:val="20"/>
          <w:szCs w:val="20"/>
          <w:color w:val="auto"/>
        </w:rPr>
      </w:pPr>
    </w:p>
    <w:p>
      <w:pPr>
        <w:ind w:firstLine="588"/>
        <w:spacing w:after="0" w:line="217" w:lineRule="auto"/>
        <w:rPr>
          <w:sz w:val="20"/>
          <w:szCs w:val="20"/>
          <w:color w:val="auto"/>
        </w:rPr>
      </w:pPr>
      <w:r>
        <w:rPr>
          <w:rFonts w:ascii="Times New Roman" w:cs="Times New Roman" w:eastAsia="Times New Roman" w:hAnsi="Times New Roman"/>
          <w:sz w:val="18"/>
          <w:szCs w:val="18"/>
          <w:color w:val="auto"/>
        </w:rPr>
        <w:t>The following items of compensation are not Incentive-Based Compensation under the Policy: salaries, bonuses paid solely at the discretion of the Compensation Committee or Board that are not paid from a bonus pool that is determined by satisfying a Financial Reporting Measure, bonuses paid solely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Reporting Measure performance goal and vesting is contingent solely upon completion of a specified employment period (e.g., time-based vesting equity awards) and/or attaining one or more non-Financial Reporting Measures).</w:t>
      </w:r>
    </w:p>
    <w:p>
      <w:pPr>
        <w:spacing w:after="0" w:line="130" w:lineRule="exact"/>
        <w:rPr>
          <w:sz w:val="20"/>
          <w:szCs w:val="20"/>
          <w:color w:val="auto"/>
        </w:rPr>
      </w:pPr>
    </w:p>
    <w:p>
      <w:pPr>
        <w:ind w:firstLine="588"/>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also Financial Reporting Measures. A Financial Reporting Measure need not be presented within the financial statements or included in a filing with the Securities and Exchange Commission.</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under the Policy in the Company’s fiscal period during which the Financial Reporting Measure</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Measure is attained prior to the Effective Date.</w:t>
      </w:r>
    </w:p>
    <w:p>
      <w:pPr>
        <w:spacing w:after="0" w:line="149" w:lineRule="exact"/>
        <w:rPr>
          <w:sz w:val="20"/>
          <w:szCs w:val="20"/>
          <w:color w:val="auto"/>
        </w:rPr>
      </w:pPr>
    </w:p>
    <w:p>
      <w:pPr>
        <w:ind w:firstLine="58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Period</w:t>
      </w:r>
      <w:r>
        <w:rPr>
          <w:rFonts w:ascii="Times New Roman" w:cs="Times New Roman" w:eastAsia="Times New Roman" w:hAnsi="Times New Roman"/>
          <w:sz w:val="18"/>
          <w:szCs w:val="18"/>
          <w:color w:val="auto"/>
        </w:rPr>
        <w:t>” means the three completed fiscal years immediately preceding the Accounting Restatement Determination Date. In addition, Covered Period can include certain transition periods resulting from a change in the Company’s fiscal year. The Company’s obligation to recover Excess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is not dependent on if or when the restated financial statements are filed.</w:t>
      </w:r>
    </w:p>
    <w:p>
      <w:pPr>
        <w:spacing w:after="0" w:line="149" w:lineRule="exact"/>
        <w:rPr>
          <w:sz w:val="20"/>
          <w:szCs w:val="20"/>
          <w:color w:val="auto"/>
        </w:rPr>
      </w:pPr>
    </w:p>
    <w:p>
      <w:pPr>
        <w:ind w:firstLine="58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 Determination Date</w:t>
      </w:r>
      <w:r>
        <w:rPr>
          <w:rFonts w:ascii="Times New Roman" w:cs="Times New Roman" w:eastAsia="Times New Roman" w:hAnsi="Times New Roman"/>
          <w:sz w:val="18"/>
          <w:szCs w:val="18"/>
          <w:color w:val="auto"/>
        </w:rPr>
        <w:t>” means the earliest to occur of: (a) the date the Board, a committee of the Board, or one or more of the officers of the Company authorized to take such action if Board action is not required, concludes, or reasonably should have concluded, that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3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is required to prepare an Accounting Restatement; and (b) the date a court, regulator, or other legally authorized body directs the Company to prepare an Accounting Restatement.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Excess Compensation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must recover such Excess Compensation reasonably promptly and Executive Officers are required to repay Excess Compensation to</w:t>
      </w:r>
    </w:p>
    <w:p>
      <w:pPr>
        <w:ind w:right="20"/>
        <w:spacing w:after="0" w:line="205" w:lineRule="auto"/>
        <w:rPr>
          <w:sz w:val="20"/>
          <w:szCs w:val="20"/>
          <w:color w:val="auto"/>
        </w:rPr>
      </w:pPr>
      <w:r>
        <w:rPr>
          <w:rFonts w:ascii="Times New Roman" w:cs="Times New Roman" w:eastAsia="Times New Roman" w:hAnsi="Times New Roman"/>
          <w:sz w:val="18"/>
          <w:szCs w:val="18"/>
          <w:color w:val="auto"/>
        </w:rPr>
        <w:t>the Company. Subject to applicable law, the Company may recover such Excess Compensation by requiring the Executive Officer to repay such amount to the Company by direct payment to the Company or such other means or combination of means as the Committee determines to be appropriate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determinations do not need to be identical as to each Executive Officer). These means may include:</w:t>
      </w:r>
    </w:p>
    <w:p>
      <w:pPr>
        <w:spacing w:after="0" w:line="153" w:lineRule="exact"/>
        <w:rPr>
          <w:sz w:val="20"/>
          <w:szCs w:val="20"/>
          <w:color w:val="auto"/>
        </w:rPr>
      </w:pPr>
    </w:p>
    <w:p>
      <w:pPr>
        <w:ind w:left="1560" w:hanging="38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160" w:lineRule="exact"/>
        <w:rPr>
          <w:rFonts w:ascii="Times New Roman" w:cs="Times New Roman" w:eastAsia="Times New Roman" w:hAnsi="Times New Roman"/>
          <w:sz w:val="18"/>
          <w:szCs w:val="18"/>
          <w:color w:val="auto"/>
        </w:rPr>
      </w:pPr>
    </w:p>
    <w:p>
      <w:pPr>
        <w:ind w:left="1180" w:right="20" w:hanging="7"/>
        <w:spacing w:after="0" w:line="244" w:lineRule="auto"/>
        <w:tabs>
          <w:tab w:leader="none" w:pos="165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42" w:lineRule="exact"/>
        <w:rPr>
          <w:rFonts w:ascii="Times New Roman" w:cs="Times New Roman" w:eastAsia="Times New Roman" w:hAnsi="Times New Roman"/>
          <w:sz w:val="18"/>
          <w:szCs w:val="18"/>
          <w:color w:val="auto"/>
        </w:rPr>
      </w:pPr>
    </w:p>
    <w:p>
      <w:pPr>
        <w:ind w:left="1180" w:right="20" w:hanging="7"/>
        <w:spacing w:after="0" w:line="234" w:lineRule="auto"/>
        <w:tabs>
          <w:tab w:leader="none" w:pos="1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amount to be recovered from any unpaid or future compensation to be paid by the Company or any affiliate of the Company to the Executive Officer;</w:t>
      </w:r>
    </w:p>
    <w:p>
      <w:pPr>
        <w:spacing w:after="0" w:line="147" w:lineRule="exact"/>
        <w:rPr>
          <w:rFonts w:ascii="Times New Roman" w:cs="Times New Roman" w:eastAsia="Times New Roman" w:hAnsi="Times New Roman"/>
          <w:sz w:val="18"/>
          <w:szCs w:val="18"/>
          <w:color w:val="auto"/>
        </w:rPr>
      </w:pPr>
    </w:p>
    <w:p>
      <w:pPr>
        <w:ind w:left="1560" w:hanging="38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172" w:lineRule="exact"/>
        <w:rPr>
          <w:rFonts w:ascii="Times New Roman" w:cs="Times New Roman" w:eastAsia="Times New Roman" w:hAnsi="Times New Roman"/>
          <w:sz w:val="18"/>
          <w:szCs w:val="18"/>
          <w:color w:val="auto"/>
        </w:rPr>
      </w:pPr>
    </w:p>
    <w:p>
      <w:pPr>
        <w:ind w:left="1560" w:hanging="387"/>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160" w:lineRule="exact"/>
        <w:rPr>
          <w:sz w:val="20"/>
          <w:szCs w:val="20"/>
          <w:color w:val="auto"/>
        </w:rPr>
      </w:pPr>
    </w:p>
    <w:p>
      <w:pPr>
        <w:ind w:firstLine="588"/>
        <w:spacing w:after="0" w:line="244" w:lineRule="auto"/>
        <w:rPr>
          <w:sz w:val="20"/>
          <w:szCs w:val="20"/>
          <w:color w:val="auto"/>
        </w:rPr>
      </w:pPr>
      <w:r>
        <w:rPr>
          <w:rFonts w:ascii="Times New Roman" w:cs="Times New Roman" w:eastAsia="Times New Roman" w:hAnsi="Times New Roman"/>
          <w:sz w:val="18"/>
          <w:szCs w:val="18"/>
          <w:color w:val="auto"/>
        </w:rPr>
        <w:t>The repayment of Excess Compensation must be made by an Executive Officer notwithstanding any Executive Officer’s belief (whether legitimate or non-legitimate) that the Excess Compensation had been previously earned under applicable law and therefore is not subject to clawback.</w:t>
      </w:r>
    </w:p>
    <w:p>
      <w:pPr>
        <w:spacing w:after="0" w:line="142" w:lineRule="exact"/>
        <w:rPr>
          <w:sz w:val="20"/>
          <w:szCs w:val="20"/>
          <w:color w:val="auto"/>
        </w:rPr>
      </w:pPr>
    </w:p>
    <w:p>
      <w:pPr>
        <w:ind w:right="20" w:firstLine="588"/>
        <w:spacing w:after="0" w:line="230" w:lineRule="auto"/>
        <w:rPr>
          <w:sz w:val="20"/>
          <w:szCs w:val="20"/>
          <w:color w:val="auto"/>
        </w:rPr>
      </w:pPr>
      <w:r>
        <w:rPr>
          <w:rFonts w:ascii="Times New Roman" w:cs="Times New Roman" w:eastAsia="Times New Roman" w:hAnsi="Times New Roman"/>
          <w:sz w:val="17"/>
          <w:szCs w:val="17"/>
          <w:color w:val="auto"/>
        </w:rPr>
        <w:t>In addition to its rights to recovery under the Policy, the Company or any affiliate of the Company may take any legal actions it determines appropriate to enforce an Executive Officer’s obligations to the Company or to discipline an Executive Officer, including (without limitation) termination of</w:t>
      </w:r>
    </w:p>
    <w:p>
      <w:pPr>
        <w:spacing w:after="0" w:line="205" w:lineRule="auto"/>
        <w:rPr>
          <w:sz w:val="20"/>
          <w:szCs w:val="20"/>
          <w:color w:val="auto"/>
        </w:rPr>
      </w:pPr>
      <w:r>
        <w:rPr>
          <w:rFonts w:ascii="Times New Roman" w:cs="Times New Roman" w:eastAsia="Times New Roman" w:hAnsi="Times New Roman"/>
          <w:sz w:val="18"/>
          <w:szCs w:val="18"/>
          <w:color w:val="auto"/>
        </w:rPr>
        <w:t>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w:t>
      </w:r>
    </w:p>
    <w:p>
      <w:pPr>
        <w:spacing w:after="0" w:line="1" w:lineRule="exact"/>
        <w:rPr>
          <w:sz w:val="20"/>
          <w:szCs w:val="20"/>
          <w:color w:val="auto"/>
        </w:rPr>
      </w:pPr>
    </w:p>
    <w:p>
      <w:pPr>
        <w:ind w:right="260"/>
        <w:spacing w:after="0" w:line="421" w:lineRule="auto"/>
        <w:rPr>
          <w:sz w:val="20"/>
          <w:szCs w:val="20"/>
          <w:color w:val="auto"/>
        </w:rPr>
      </w:pPr>
      <w:r>
        <w:rPr>
          <w:rFonts w:ascii="Times New Roman" w:cs="Times New Roman" w:eastAsia="Times New Roman" w:hAnsi="Times New Roman"/>
          <w:sz w:val="18"/>
          <w:szCs w:val="18"/>
          <w:color w:val="auto"/>
        </w:rPr>
        <w:t xml:space="preserve">and can be made by the Board, any committee of the Board, or any duly authorized officer of the Company or of any applicable affiliate of the Company. </w:t>
      </w:r>
      <w:r>
        <w:rPr>
          <w:rFonts w:ascii="Times New Roman" w:cs="Times New Roman" w:eastAsia="Times New Roman" w:hAnsi="Times New Roman"/>
          <w:sz w:val="18"/>
          <w:szCs w:val="18"/>
          <w:b w:val="1"/>
          <w:bCs w:val="1"/>
          <w:color w:val="auto"/>
        </w:rPr>
        <w:t>Limited Exceptions to the Policy</w:t>
      </w:r>
    </w:p>
    <w:p>
      <w:pPr>
        <w:spacing w:after="0" w:line="1" w:lineRule="exact"/>
        <w:rPr>
          <w:sz w:val="20"/>
          <w:szCs w:val="20"/>
          <w:color w:val="auto"/>
        </w:rPr>
      </w:pPr>
    </w:p>
    <w:p>
      <w:pPr>
        <w:ind w:right="20" w:firstLine="588"/>
        <w:spacing w:after="0" w:line="244" w:lineRule="auto"/>
        <w:rPr>
          <w:sz w:val="20"/>
          <w:szCs w:val="20"/>
          <w:color w:val="auto"/>
        </w:rPr>
      </w:pPr>
      <w:r>
        <w:rPr>
          <w:rFonts w:ascii="Times New Roman" w:cs="Times New Roman" w:eastAsia="Times New Roman" w:hAnsi="Times New Roman"/>
          <w:sz w:val="18"/>
          <w:szCs w:val="18"/>
          <w:color w:val="auto"/>
        </w:rPr>
        <w:t>The Company must recover the Excess Compensation in accordance with the Policy except to the limited extent that the conditions set forth below are met, and the Committee determines that recovery of the Excess Compensation would be impracticable:</w:t>
      </w:r>
    </w:p>
    <w:p>
      <w:pPr>
        <w:spacing w:after="0" w:line="142" w:lineRule="exact"/>
        <w:rPr>
          <w:sz w:val="20"/>
          <w:szCs w:val="20"/>
          <w:color w:val="auto"/>
        </w:rPr>
      </w:pPr>
    </w:p>
    <w:p>
      <w:pPr>
        <w:jc w:val="both"/>
        <w:ind w:left="1180" w:right="20" w:hanging="7"/>
        <w:spacing w:after="0" w:line="227" w:lineRule="auto"/>
        <w:tabs>
          <w:tab w:leader="none" w:pos="15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47" w:lineRule="exact"/>
        <w:rPr>
          <w:rFonts w:ascii="Times New Roman" w:cs="Times New Roman" w:eastAsia="Times New Roman" w:hAnsi="Times New Roman"/>
          <w:sz w:val="18"/>
          <w:szCs w:val="18"/>
          <w:color w:val="auto"/>
        </w:rPr>
      </w:pPr>
    </w:p>
    <w:p>
      <w:pPr>
        <w:ind w:left="1180" w:right="20" w:hanging="7"/>
        <w:spacing w:after="0" w:line="235" w:lineRule="auto"/>
        <w:tabs>
          <w:tab w:leader="none" w:pos="161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legal requirements as such.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Information in the Policy</w:t>
      </w:r>
    </w:p>
    <w:p>
      <w:pPr>
        <w:spacing w:after="0" w:line="177" w:lineRule="exact"/>
        <w:rPr>
          <w:sz w:val="20"/>
          <w:szCs w:val="20"/>
          <w:color w:val="auto"/>
        </w:rPr>
      </w:pPr>
    </w:p>
    <w:p>
      <w:pPr>
        <w:ind w:right="20" w:firstLine="588"/>
        <w:spacing w:after="0" w:line="235" w:lineRule="auto"/>
        <w:rPr>
          <w:sz w:val="20"/>
          <w:szCs w:val="20"/>
          <w:color w:val="auto"/>
        </w:rPr>
      </w:pPr>
      <w:r>
        <w:rPr>
          <w:rFonts w:ascii="Times New Roman" w:cs="Times New Roman" w:eastAsia="Times New Roman" w:hAnsi="Times New Roman"/>
          <w:sz w:val="18"/>
          <w:szCs w:val="18"/>
          <w:color w:val="auto"/>
        </w:rPr>
        <w:t>The Policy is in addition to the requirements of Section 304 of the Sarbanes-Oxley Act of 2002 that are applicable to the Company’s Chief Executive Officer and Chief Financial Officer, as well as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440" w:right="319" w:bottom="1440" w:gutter="0" w:footer="0" w:header="0"/>
        </w:sectPr>
      </w:pPr>
    </w:p>
    <w:bookmarkStart w:id="255" w:name="page256"/>
    <w:bookmarkEnd w:id="255"/>
    <w:p>
      <w:pPr>
        <w:spacing w:after="0" w:line="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other applicable laws, regulatory requirements, rules, or pursuant to the terms of any existing Company policy or agreement providing for the recovery of compensation.</w:t>
      </w:r>
    </w:p>
    <w:p>
      <w:pPr>
        <w:spacing w:after="0" w:line="130" w:lineRule="exact"/>
        <w:rPr>
          <w:sz w:val="20"/>
          <w:szCs w:val="20"/>
          <w:color w:val="auto"/>
        </w:rPr>
      </w:pPr>
    </w:p>
    <w:p>
      <w:pPr>
        <w:ind w:firstLine="588"/>
        <w:spacing w:after="0" w:line="224"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w:t>
      </w:r>
    </w:p>
    <w:p>
      <w:pPr>
        <w:spacing w:after="0" w:line="1"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or provide advancement for any Executive Officer against any loss of Excess Compensation. Neither the Company nor any affiliate of the Company will pay for or reimburse insurance premiums for an insurance policy that covers potential recovery obligations. In the event the Company is required to recover</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Excess Compensation from an Executive Officer who is no longer an employee pursuant to the Policy, the Company will be entitled to seek such recovery in order to comply with applicable law, regardless of the terms of any release of claims or separation agreement such individual may have signed.</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Committee or Board may review and modify the Policy from time to time.</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any provision of the Policy or the application of any such provision to any Executive Officer is adjudicated to be invalid, illegal or unenforceable</w:t>
      </w:r>
    </w:p>
    <w:p>
      <w:pPr>
        <w:spacing w:after="0" w:line="205" w:lineRule="auto"/>
        <w:rPr>
          <w:sz w:val="20"/>
          <w:szCs w:val="20"/>
          <w:color w:val="auto"/>
        </w:rPr>
      </w:pPr>
      <w:r>
        <w:rPr>
          <w:rFonts w:ascii="Times New Roman" w:cs="Times New Roman" w:eastAsia="Times New Roman" w:hAnsi="Times New Roman"/>
          <w:sz w:val="18"/>
          <w:szCs w:val="18"/>
          <w:color w:val="auto"/>
        </w:rPr>
        <w:t>in any respect, such invalidity, illegality or unenforceability will not affect any other provisions of the Policy or the application of such provision to another Executive Officer, and the invalid, illegal or unenforceable provisions will be deemed amended to the minimum extent necessary to render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or application enforceable.</w:t>
      </w:r>
    </w:p>
    <w:p>
      <w:pPr>
        <w:spacing w:after="0" w:line="153" w:lineRule="exact"/>
        <w:rPr>
          <w:sz w:val="20"/>
          <w:szCs w:val="20"/>
          <w:color w:val="auto"/>
        </w:rPr>
      </w:pPr>
    </w:p>
    <w:p>
      <w:pPr>
        <w:ind w:firstLine="588"/>
        <w:spacing w:after="0" w:line="235" w:lineRule="auto"/>
        <w:rPr>
          <w:sz w:val="20"/>
          <w:szCs w:val="20"/>
          <w:color w:val="auto"/>
        </w:rPr>
      </w:pPr>
      <w:r>
        <w:rPr>
          <w:rFonts w:ascii="Times New Roman" w:cs="Times New Roman" w:eastAsia="Times New Roman" w:hAnsi="Times New Roman"/>
          <w:sz w:val="18"/>
          <w:szCs w:val="18"/>
          <w:color w:val="auto"/>
        </w:rPr>
        <w:t>The Policy will terminate and no longer be enforceable when the Company ceases to be listed issuer within the meaning of Section 10D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w:t>
      </w:r>
    </w:p>
    <w:p>
      <w:pPr>
        <w:spacing w:after="0" w:line="173" w:lineRule="exact"/>
        <w:rPr>
          <w:sz w:val="20"/>
          <w:szCs w:val="20"/>
          <w:color w:val="auto"/>
        </w:rPr>
      </w:pPr>
    </w:p>
    <w:p>
      <w:pPr>
        <w:ind w:left="580" w:hanging="288"/>
        <w:spacing w:after="0"/>
        <w:tabs>
          <w:tab w:leader="none" w:pos="5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 have received and read the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Sonder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jc w:val="both"/>
        <w:ind w:left="580" w:right="20" w:hanging="288"/>
        <w:spacing w:after="0" w:line="227"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10" w:lineRule="exact"/>
        <w:rPr>
          <w:rFonts w:ascii="Times New Roman" w:cs="Times New Roman" w:eastAsia="Times New Roman" w:hAnsi="Times New Roman"/>
          <w:sz w:val="18"/>
          <w:szCs w:val="18"/>
          <w:color w:val="auto"/>
        </w:rPr>
      </w:pPr>
    </w:p>
    <w:p>
      <w:pPr>
        <w:ind w:left="580" w:right="20" w:hanging="288"/>
        <w:spacing w:after="0" w:line="244"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be bound by and to comply with the Policy and understand that determinations of the Committee (as such term is used in the Policy) will be final and binding and will be given the maximum deference permitted by law.</w:t>
      </w:r>
    </w:p>
    <w:p>
      <w:pPr>
        <w:spacing w:after="0" w:line="105" w:lineRule="exact"/>
        <w:rPr>
          <w:rFonts w:ascii="Times New Roman" w:cs="Times New Roman" w:eastAsia="Times New Roman" w:hAnsi="Times New Roman"/>
          <w:sz w:val="18"/>
          <w:szCs w:val="18"/>
          <w:color w:val="auto"/>
        </w:rPr>
      </w:pPr>
    </w:p>
    <w:p>
      <w:pPr>
        <w:ind w:left="580" w:right="20" w:hanging="288"/>
        <w:spacing w:after="0" w:line="235"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my current indemnification rights, whether in an individual agreement or the Company’s organizational documents, exclude the right to be indemnified for amounts required to be recovered under the Policy.</w:t>
      </w:r>
    </w:p>
    <w:p>
      <w:pPr>
        <w:spacing w:after="0" w:line="108" w:lineRule="exact"/>
        <w:rPr>
          <w:rFonts w:ascii="Times New Roman" w:cs="Times New Roman" w:eastAsia="Times New Roman" w:hAnsi="Times New Roman"/>
          <w:sz w:val="18"/>
          <w:szCs w:val="18"/>
          <w:color w:val="auto"/>
        </w:rPr>
      </w:pPr>
    </w:p>
    <w:p>
      <w:pPr>
        <w:ind w:left="580" w:right="20" w:hanging="288"/>
        <w:spacing w:after="0" w:line="244"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my failure to comply in all respects with the Policy is a basis for termination of my employment with the Company and any affiliate of the Company as well as any other appropriate discipline.</w:t>
      </w:r>
    </w:p>
    <w:p>
      <w:pPr>
        <w:spacing w:after="0" w:line="105" w:lineRule="exact"/>
        <w:rPr>
          <w:rFonts w:ascii="Times New Roman" w:cs="Times New Roman" w:eastAsia="Times New Roman" w:hAnsi="Times New Roman"/>
          <w:sz w:val="18"/>
          <w:szCs w:val="18"/>
          <w:color w:val="auto"/>
        </w:rPr>
      </w:pPr>
    </w:p>
    <w:p>
      <w:pPr>
        <w:ind w:left="580" w:hanging="288"/>
        <w:spacing w:after="0" w:line="244"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neither the Policy, nor the application of the Policy to me, gives rise to a resignation for good reason (or similar concept) by me under any applicable employment agreement or arrangement.</w:t>
      </w:r>
    </w:p>
    <w:p>
      <w:pPr>
        <w:spacing w:after="0" w:line="105" w:lineRule="exact"/>
        <w:rPr>
          <w:rFonts w:ascii="Times New Roman" w:cs="Times New Roman" w:eastAsia="Times New Roman" w:hAnsi="Times New Roman"/>
          <w:sz w:val="18"/>
          <w:szCs w:val="18"/>
          <w:color w:val="auto"/>
        </w:rPr>
      </w:pPr>
    </w:p>
    <w:p>
      <w:pPr>
        <w:ind w:left="580" w:right="20" w:hanging="288"/>
        <w:spacing w:after="0" w:line="235" w:lineRule="auto"/>
        <w:tabs>
          <w:tab w:leader="none" w:pos="56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if I have questions concerning the meaning or application of the Policy, it is my responsibility to seek guidance from the Sonder Legal Team, Sonder Human Resources Team, or my own personal advisers.</w:t>
      </w:r>
    </w:p>
    <w:p>
      <w:pPr>
        <w:spacing w:after="0" w:line="108"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acknowledge that neither this Acknowledgement nor the Policy is meant to constitute an employment contract.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review, sign, and return this form to Human Resources.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-123825</wp:posOffset>
            </wp:positionV>
            <wp:extent cx="256413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2564130" cy="7620"/>
                    </a:xfrm>
                    <a:prstGeom prst="rect">
                      <a:avLst/>
                    </a:prstGeom>
                    <a:noFill/>
                  </pic:spPr>
                </pic:pic>
              </a:graphicData>
            </a:graphic>
          </wp:anchor>
        </w:drawing>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-123825</wp:posOffset>
            </wp:positionV>
            <wp:extent cx="256413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2564130" cy="7620"/>
                    </a:xfrm>
                    <a:prstGeom prst="rect">
                      <a:avLst/>
                    </a:prstGeom>
                    <a:noFill/>
                  </pic:spPr>
                </pic:pic>
              </a:graphicData>
            </a:graphic>
          </wp:anchor>
        </w:drawing>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-123825</wp:posOffset>
            </wp:positionV>
            <wp:extent cx="256413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25641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sectPr>
      <w:pgSz w:w="11900" w:h="16838" w:orient="portrait"/>
      <w:cols w:equalWidth="0" w:num="1">
        <w:col w:w="11260"/>
      </w:cols>
      <w:pgMar w:left="320" w:top="127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lvl w:ilvl="1">
      <w:lvlJc w:val="left"/>
      <w:lvlText w:val="◦"/>
      <w:numFmt w:val="bullet"/>
      <w:start w:val="1"/>
    </w:lvl>
  </w:abstractNum>
  <w:abstractNum w:abstractNumId="21">
    <w:nsid w:val="11447B73"/>
    <w:multiLevelType w:val="hybridMultilevel"/>
    <w:lvl w:ilvl="0">
      <w:lvlJc w:val="left"/>
      <w:lvlText w:val="%1)"/>
      <w:numFmt w:val="upperLetter"/>
      <w:start w:val="11"/>
    </w:lvl>
    <w:lvl w:ilvl="1">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1)"/>
      <w:numFmt w:val="decimal"/>
      <w:start w:val="1"/>
    </w:lvl>
  </w:abstractNum>
  <w:abstractNum w:abstractNumId="28">
    <w:nsid w:val="4962813B"/>
    <w:multiLevelType w:val="hybridMultilevel"/>
    <w:lvl w:ilvl="0">
      <w:lvlJc w:val="left"/>
      <w:lvlText w:val="•"/>
      <w:numFmt w:val="bullet"/>
      <w:start w:val="1"/>
    </w:lvl>
    <w:lvl w:ilvl="1">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lvl w:ilvl="1">
      <w:lvlJc w:val="left"/>
      <w:lvlText w:val="\endash "/>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1)"/>
      <w:numFmt w:val="decimal"/>
      <w:start w:val="1"/>
    </w:lvl>
  </w:abstractNum>
  <w:abstractNum w:abstractNumId="35">
    <w:nsid w:val="100F59DC"/>
    <w:multiLevelType w:val="hybridMultilevel"/>
    <w:lvl w:ilvl="0">
      <w:lvlJc w:val="left"/>
      <w:lvlText w:val="(%1)"/>
      <w:numFmt w:val="decimal"/>
      <w:start w:val="1"/>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1)"/>
      <w:numFmt w:val="lowerRoman"/>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1)"/>
      <w:numFmt w:val="lowerRoman"/>
      <w:start w:val="5"/>
    </w:lvl>
  </w:abstractNum>
  <w:abstractNum w:abstractNumId="45">
    <w:nsid w:val="3222E7CD"/>
    <w:multiLevelType w:val="hybridMultilevel"/>
    <w:lvl w:ilvl="0">
      <w:lvlJc w:val="left"/>
      <w:lvlText w:val="(%1)"/>
      <w:numFmt w:val="decimal"/>
      <w:start w:val="1"/>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amp;"/>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1)"/>
      <w:numFmt w:val="decimal"/>
      <w:start w:val="1"/>
    </w:lvl>
  </w:abstractNum>
  <w:abstractNum w:abstractNumId="57">
    <w:nsid w:val="7F01579B"/>
    <w:multiLevelType w:val="hybridMultilevel"/>
    <w:lvl w:ilvl="0">
      <w:lvlJc w:val="left"/>
      <w:lvlText w:val="(%1)"/>
      <w:numFmt w:val="decimal"/>
      <w:start w:val="3"/>
    </w:lvl>
  </w:abstractNum>
  <w:abstractNum w:abstractNumId="58">
    <w:nsid w:val="49DA307D"/>
    <w:multiLevelType w:val="hybridMultilevel"/>
    <w:lvl w:ilvl="0">
      <w:lvlJc w:val="left"/>
      <w:lvlText w:val="(%1)"/>
      <w:numFmt w:val="decimal"/>
      <w:start w:val="1"/>
    </w:lvl>
  </w:abstractNum>
  <w:abstractNum w:abstractNumId="59">
    <w:nsid w:val="7055A5F5"/>
    <w:multiLevelType w:val="hybridMultilevel"/>
    <w:lvl w:ilvl="0">
      <w:lvlJc w:val="left"/>
      <w:lvlText w:val="(%1)"/>
      <w:numFmt w:val="decimal"/>
      <w:start w:val="5"/>
    </w:lvl>
  </w:abstractNum>
  <w:abstractNum w:abstractNumId="60">
    <w:nsid w:val="5FB8370B"/>
    <w:multiLevelType w:val="hybridMultilevel"/>
    <w:lvl w:ilvl="0">
      <w:lvlJc w:val="left"/>
      <w:lvlText w:val="(%1)"/>
      <w:numFmt w:val="decimal"/>
      <w:start w:val="22"/>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1)"/>
      <w:numFmt w:val="decimal"/>
      <w:start w:val="4"/>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1)"/>
      <w:numFmt w:val="decimal"/>
      <w:start w:val="1"/>
    </w:lvl>
  </w:abstractNum>
  <w:abstractNum w:abstractNumId="66">
    <w:nsid w:val="6FC75AF8"/>
    <w:multiLevelType w:val="hybridMultilevel"/>
    <w:lvl w:ilvl="0">
      <w:lvlJc w:val="left"/>
      <w:lvlText w:val="(%1)"/>
      <w:numFmt w:val="decimal"/>
      <w:start w:val="5"/>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1)"/>
      <w:numFmt w:val="decimal"/>
      <w:start w:val="1"/>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104"/>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
      <w:numFmt w:val="bullet"/>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1"/>
    </w:lvl>
  </w:abstractNum>
  <w:abstractNum w:abstractNumId="88">
    <w:nsid w:val="1CA0C5FA"/>
    <w:multiLevelType w:val="hybridMultilevel"/>
    <w:lvl w:ilvl="0">
      <w:lvlJc w:val="left"/>
      <w:lvlText w:val="%1."/>
      <w:numFmt w:val="decimal"/>
      <w:start w:val="2"/>
    </w:lvl>
  </w:abstractNum>
  <w:abstractNum w:abstractNumId="89">
    <w:nsid w:val="53584BCB"/>
    <w:multiLevelType w:val="hybridMultilevel"/>
    <w:lvl w:ilvl="0">
      <w:lvlJc w:val="left"/>
      <w:lvlText w:val="%1."/>
      <w:numFmt w:val="decimal"/>
      <w:start w:val="3"/>
    </w:lvl>
  </w:abstractNum>
  <w:abstractNum w:abstractNumId="90">
    <w:nsid w:val="415E286C"/>
    <w:multiLevelType w:val="hybridMultilevel"/>
    <w:lvl w:ilvl="0">
      <w:lvlJc w:val="left"/>
      <w:lvlText w:val="%1."/>
      <w:numFmt w:val="decimal"/>
      <w:start w:val="4"/>
    </w:lvl>
  </w:abstractNum>
  <w:abstractNum w:abstractNumId="91">
    <w:nsid w:val="7C58FD05"/>
    <w:multiLevelType w:val="hybridMultilevel"/>
    <w:lvl w:ilvl="0">
      <w:lvlJc w:val="left"/>
      <w:lvlText w:val="%1."/>
      <w:numFmt w:val="decimal"/>
      <w:start w:val="5"/>
    </w:lvl>
  </w:abstractNum>
  <w:abstractNum w:abstractNumId="92">
    <w:nsid w:val="23D86AAC"/>
    <w:multiLevelType w:val="hybridMultilevel"/>
    <w:lvl w:ilvl="0">
      <w:lvlJc w:val="left"/>
      <w:lvlText w:val="%1."/>
      <w:numFmt w:val="decimal"/>
      <w:start w:val="6"/>
    </w:lvl>
  </w:abstractNum>
  <w:abstractNum w:abstractNumId="93">
    <w:nsid w:val="45E6D486"/>
    <w:multiLevelType w:val="hybridMultilevel"/>
    <w:lvl w:ilvl="0">
      <w:lvlJc w:val="left"/>
      <w:lvlText w:val="%1."/>
      <w:numFmt w:val="decimal"/>
      <w:start w:val="7"/>
    </w:lvl>
  </w:abstractNum>
  <w:abstractNum w:abstractNumId="94">
    <w:nsid w:val="5C10FE21"/>
    <w:multiLevelType w:val="hybridMultilevel"/>
    <w:lvl w:ilvl="0">
      <w:lvlJc w:val="left"/>
      <w:lvlText w:val="%1."/>
      <w:numFmt w:val="decimal"/>
      <w:start w:val="7"/>
    </w:lvl>
    <w:lvl w:ilvl="1">
      <w:lvlJc w:val="left"/>
      <w:lvlText w:val="▪"/>
      <w:numFmt w:val="bullet"/>
      <w:start w:val="1"/>
    </w:lvl>
  </w:abstractNum>
  <w:abstractNum w:abstractNumId="95">
    <w:nsid w:val="E7FFA2B"/>
    <w:multiLevelType w:val="hybridMultilevel"/>
    <w:lvl w:ilvl="0">
      <w:lvlJc w:val="left"/>
      <w:lvlText w:val="%1."/>
      <w:numFmt w:val="decimal"/>
      <w:start w:val="9"/>
    </w:lvl>
  </w:abstractNum>
  <w:abstractNum w:abstractNumId="96">
    <w:nsid w:val="3C5991AA"/>
    <w:multiLevelType w:val="hybridMultilevel"/>
    <w:lvl w:ilvl="0">
      <w:lvlJc w:val="left"/>
      <w:lvlText w:val="%1."/>
      <w:numFmt w:val="decimal"/>
      <w:start w:val="10"/>
    </w:lvl>
  </w:abstractNum>
  <w:abstractNum w:abstractNumId="97">
    <w:nsid w:val="4BD8591A"/>
    <w:multiLevelType w:val="hybridMultilevel"/>
    <w:lvl w:ilvl="0">
      <w:lvlJc w:val="left"/>
      <w:lvlText w:val="%1."/>
      <w:numFmt w:val="decimal"/>
      <w:start w:val="11"/>
    </w:lvl>
  </w:abstractNum>
  <w:abstractNum w:abstractNumId="98">
    <w:nsid w:val="78DF6A55"/>
    <w:multiLevelType w:val="hybridMultilevel"/>
    <w:lvl w:ilvl="0">
      <w:lvlJc w:val="left"/>
      <w:lvlText w:val="%1."/>
      <w:numFmt w:val="decimal"/>
      <w:start w:val="12"/>
    </w:lvl>
  </w:abstractNum>
  <w:abstractNum w:abstractNumId="99">
    <w:nsid w:val="39B7AAA2"/>
    <w:multiLevelType w:val="hybridMultilevel"/>
    <w:lvl w:ilvl="0">
      <w:lvlJc w:val="left"/>
      <w:lvlText w:val="%1."/>
      <w:numFmt w:val="decimal"/>
      <w:start w:val="13"/>
    </w:lvl>
  </w:abstractNum>
  <w:abstractNum w:abstractNumId="100">
    <w:nsid w:val="2B0D8DBE"/>
    <w:multiLevelType w:val="hybridMultilevel"/>
    <w:lvl w:ilvl="0">
      <w:lvlJc w:val="left"/>
      <w:lvlText w:val="%1."/>
      <w:numFmt w:val="decimal"/>
      <w:start w:val="14"/>
    </w:lvl>
  </w:abstractNum>
  <w:abstractNum w:abstractNumId="101">
    <w:nsid w:val="6C80EC70"/>
    <w:multiLevelType w:val="hybridMultilevel"/>
    <w:lvl w:ilvl="0">
      <w:lvlJc w:val="left"/>
      <w:lvlText w:val="%1."/>
      <w:numFmt w:val="decimal"/>
      <w:start w:val="15"/>
    </w:lvl>
  </w:abstractNum>
  <w:abstractNum w:abstractNumId="102">
    <w:nsid w:val="379E21B5"/>
    <w:multiLevelType w:val="hybridMultilevel"/>
    <w:lvl w:ilvl="0">
      <w:lvlJc w:val="left"/>
      <w:lvlText w:val="%1."/>
      <w:numFmt w:val="decimal"/>
      <w:start w:val="16"/>
    </w:lvl>
  </w:abstractNum>
  <w:abstractNum w:abstractNumId="103">
    <w:nsid w:val="69E373"/>
    <w:multiLevelType w:val="hybridMultilevel"/>
    <w:lvl w:ilvl="0">
      <w:lvlJc w:val="left"/>
      <w:lvlText w:val="%1."/>
      <w:numFmt w:val="decimal"/>
      <w:start w:val="17"/>
    </w:lvl>
  </w:abstractNum>
  <w:abstractNum w:abstractNumId="104">
    <w:nsid w:val="2C27173B"/>
    <w:multiLevelType w:val="hybridMultilevel"/>
    <w:lvl w:ilvl="0">
      <w:lvlJc w:val="left"/>
      <w:lvlText w:val="(%1)"/>
      <w:numFmt w:val="decimal"/>
      <w:start w:val="30"/>
    </w:lvl>
  </w:abstractNum>
  <w:abstractNum w:abstractNumId="105">
    <w:nsid w:val="4C9B0904"/>
    <w:multiLevelType w:val="hybridMultilevel"/>
    <w:lvl w:ilvl="0">
      <w:lvlJc w:val="left"/>
      <w:lvlText w:val="%1."/>
      <w:numFmt w:val="decimal"/>
      <w:start w:val="1"/>
    </w:lvl>
  </w:abstractNum>
  <w:abstractNum w:abstractNumId="106">
    <w:nsid w:val="6AA7B75C"/>
    <w:multiLevelType w:val="hybridMultilevel"/>
    <w:lvl w:ilvl="0">
      <w:lvlJc w:val="left"/>
      <w:lvlText w:val="%1."/>
      <w:numFmt w:val="decimal"/>
      <w:start w:val="2"/>
    </w:lvl>
  </w:abstractNum>
  <w:abstractNum w:abstractNumId="107">
    <w:nsid w:val="1DF029D3"/>
    <w:multiLevelType w:val="hybridMultilevel"/>
    <w:lvl w:ilvl="0">
      <w:lvlJc w:val="left"/>
      <w:lvlText w:val="%1."/>
      <w:numFmt w:val="decimal"/>
      <w:start w:val="3"/>
    </w:lvl>
  </w:abstractNum>
  <w:abstractNum w:abstractNumId="108">
    <w:nsid w:val="5675FF36"/>
    <w:multiLevelType w:val="hybridMultilevel"/>
    <w:lvl w:ilvl="0">
      <w:lvlJc w:val="left"/>
      <w:lvlText w:val="(%1)"/>
      <w:numFmt w:val="lowerLetter"/>
      <w:start w:val="5"/>
    </w:lvl>
  </w:abstractNum>
  <w:abstractNum w:abstractNumId="109">
    <w:nsid w:val="3DD15094"/>
    <w:multiLevelType w:val="hybridMultilevel"/>
    <w:lvl w:ilvl="0">
      <w:lvlJc w:val="left"/>
      <w:lvlText w:val="%1."/>
      <w:numFmt w:val="decimal"/>
      <w:start w:val="4"/>
    </w:lvl>
  </w:abstractNum>
  <w:abstractNum w:abstractNumId="110">
    <w:nsid w:val="3DB012B3"/>
    <w:multiLevelType w:val="hybridMultilevel"/>
    <w:lvl w:ilvl="0">
      <w:lvlJc w:val="left"/>
      <w:lvlText w:val="%1."/>
      <w:numFmt w:val="decimal"/>
      <w:start w:val="5"/>
    </w:lvl>
  </w:abstractNum>
  <w:abstractNum w:abstractNumId="111">
    <w:nsid w:val="2708C9AF"/>
    <w:multiLevelType w:val="hybridMultilevel"/>
    <w:lvl w:ilvl="0">
      <w:lvlJc w:val="left"/>
      <w:lvlText w:val="(%1)"/>
      <w:numFmt w:val="lowerRoman"/>
      <w:start w:val="9"/>
    </w:lvl>
  </w:abstractNum>
  <w:abstractNum w:abstractNumId="112">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3">
    <w:nsid w:val="175DFCF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14">
    <w:nsid w:val="4F97E3E4"/>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lvl w:ilvl="3">
      <w:lvlJc w:val="left"/>
      <w:lvlText w:val="%4."/>
      <w:numFmt w:val="decimal"/>
      <w:start w:val="2"/>
    </w:lvl>
  </w:abstractNum>
  <w:abstractNum w:abstractNumId="115">
    <w:nsid w:val="53B0A9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decimal"/>
      <w:start w:val="1"/>
    </w:lvl>
  </w:abstractNum>
  <w:abstractNum w:abstractNumId="116">
    <w:nsid w:val="34FD6B4F"/>
    <w:multiLevelType w:val="hybridMultilevel"/>
    <w:lvl w:ilvl="0">
      <w:lvlJc w:val="left"/>
      <w:lvlText w:val="%1."/>
      <w:numFmt w:val="lowerLetter"/>
      <w:start w:val="1"/>
    </w:lvl>
    <w:lvl w:ilvl="1">
      <w:lvlJc w:val="left"/>
      <w:lvlText w:val="%2."/>
      <w:numFmt w:val="decimal"/>
      <w:start w:val="4"/>
    </w:lvl>
  </w:abstractNum>
  <w:abstractNum w:abstractNumId="117">
    <w:nsid w:val="5915FF32"/>
    <w:multiLevelType w:val="hybridMultilevel"/>
    <w:lvl w:ilvl="0">
      <w:lvlJc w:val="left"/>
      <w:lvlText w:val="%1."/>
      <w:numFmt w:val="lowerLetter"/>
      <w:start w:val="1"/>
    </w:lvl>
    <w:lvl w:ilvl="1">
      <w:lvlJc w:val="left"/>
      <w:lvlText w:val="%2."/>
      <w:numFmt w:val="decimal"/>
      <w:start w:val="5"/>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2"/>
    </w:lvl>
  </w:abstractNum>
  <w:abstractNum w:abstractNumId="123">
    <w:nsid w:val="5046B5A9"/>
    <w:multiLevelType w:val="hybridMultilevel"/>
    <w:lvl w:ilvl="0">
      <w:lvlJc w:val="left"/>
      <w:lvlText w:val="%1."/>
      <w:numFmt w:val="lowerLetter"/>
      <w:start w:val="3"/>
    </w:lvl>
  </w:abstractNum>
  <w:abstractNum w:abstractNumId="124">
    <w:nsid w:val="5D888A08"/>
    <w:multiLevelType w:val="hybridMultilevel"/>
    <w:lvl w:ilvl="0">
      <w:lvlJc w:val="left"/>
      <w:lvlText w:val="%1."/>
      <w:numFmt w:val="decimal"/>
      <w:start w:val="1"/>
    </w:lvl>
  </w:abstractNum>
  <w:abstractNum w:abstractNumId="125">
    <w:nsid w:val="2A082C70"/>
    <w:multiLevelType w:val="hybridMultilevel"/>
    <w:lvl w:ilvl="0">
      <w:lvlJc w:val="left"/>
      <w:lvlText w:val="%1."/>
      <w:numFmt w:val="decimal"/>
      <w:start w:val="1"/>
    </w:lvl>
    <w:lvl w:ilvl="1">
      <w:lvlJc w:val="left"/>
      <w:lvlText w:val="%2."/>
      <w:numFmt w:val="lowerLetter"/>
      <w:start w:val="1"/>
    </w:lvl>
  </w:abstractNum>
  <w:abstractNum w:abstractNumId="126">
    <w:nsid w:val="5EC6AFD4"/>
    <w:multiLevelType w:val="hybridMultilevel"/>
    <w:lvl w:ilvl="0">
      <w:lvlJc w:val="left"/>
      <w:lvlText w:val="%1."/>
      <w:numFmt w:val="decimal"/>
      <w:start w:val="1"/>
    </w:lvl>
    <w:lvl w:ilvl="1">
      <w:lvlJc w:val="left"/>
      <w:lvlText w:val="%2."/>
      <w:numFmt w:val="lowerLetter"/>
      <w:start w:val="1"/>
    </w:lvl>
  </w:abstractNum>
  <w:abstractNum w:abstractNumId="127">
    <w:nsid w:val="19E21BB2"/>
    <w:multiLevelType w:val="hybridMultilevel"/>
    <w:lvl w:ilvl="0">
      <w:lvlJc w:val="left"/>
      <w:lvlText w:val="%1."/>
      <w:numFmt w:val="decimal"/>
      <w:start w:val="1"/>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lowerLetter"/>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25" Type="http://schemas.openxmlformats.org/officeDocument/2006/relationships/hyperlink" Target="https://www.sec.gov/Archives/edgar/data/1819395/000119312521142206/d145199dex21.htm" TargetMode="External"/><Relationship Id="rId226" Type="http://schemas.openxmlformats.org/officeDocument/2006/relationships/hyperlink" Target="https://www.sec.gov/Archives/edgar/data/1819395/000119312521310413/d200606dex21.htm" TargetMode="External"/><Relationship Id="rId227" Type="http://schemas.openxmlformats.org/officeDocument/2006/relationships/hyperlink" Target="https://www.sec.gov/Archives/edgar/data/1819395/000162828022001184/exhibit31-super8xk.htm" TargetMode="External"/><Relationship Id="rId228" Type="http://schemas.openxmlformats.org/officeDocument/2006/relationships/hyperlink" Target="https://www.sec.gov/Archives/edgar/data/1819395/000181939523000141/exhibit31-certificateofame.htm" TargetMode="External"/><Relationship Id="rId229" Type="http://schemas.openxmlformats.org/officeDocument/2006/relationships/hyperlink" Target="https://www.sec.gov/ix?doc=/Archives/edgar/data/1819395/000181939524000046/son-20240813.htm" TargetMode="External"/><Relationship Id="rId230" Type="http://schemas.openxmlformats.org/officeDocument/2006/relationships/hyperlink" Target="https://www.sec.gov/Archives/edgar/data/1819395/000181939522000170/sonderholdingsinc-arbyla.htm" TargetMode="External"/><Relationship Id="rId231" Type="http://schemas.openxmlformats.org/officeDocument/2006/relationships/hyperlink" Target="https://www.sec.gov/Archives/edgar/data/1819395/000162828022001184/exhibit41-super8xk.htm" TargetMode="External"/><Relationship Id="rId234" Type="http://schemas.openxmlformats.org/officeDocument/2006/relationships/hyperlink" Target="https://www.sec.gov/Archives/edgar/data/1819395/000119312520326144/d60940dex43.htm" TargetMode="External"/><Relationship Id="rId235" Type="http://schemas.openxmlformats.org/officeDocument/2006/relationships/hyperlink" Target="https://www.sec.gov/Archives/edgar/data/1819395/000119312521016455/d31698dex41.htm" TargetMode="External"/><Relationship Id="rId236" Type="http://schemas.openxmlformats.org/officeDocument/2006/relationships/hyperlink" Target="https://www.sec.gov/Archives/edgar/data/1819395/000162828022001521/exhibit44-sx1resale.htm" TargetMode="External"/><Relationship Id="rId237" Type="http://schemas.openxmlformats.org/officeDocument/2006/relationships/hyperlink" Target="https://www.sec.gov/Archives/edgar/data/1819395/000119312521142206/d145199dex101.htm" TargetMode="External"/><Relationship Id="rId238" Type="http://schemas.openxmlformats.org/officeDocument/2006/relationships/hyperlink" Target="https://www.sec.gov/Archives/edgar/data/1819395/000119312521310413/d200606dex101.htm" TargetMode="External"/><Relationship Id="rId239" Type="http://schemas.openxmlformats.org/officeDocument/2006/relationships/hyperlink" Target="https://www.sec.gov/Archives/edgar/data/1819395/000119312521310413/d200606dex102.htm" TargetMode="External"/><Relationship Id="rId240" Type="http://schemas.openxmlformats.org/officeDocument/2006/relationships/hyperlink" Target="https://www.sec.gov/Archives/edgar/data/1819395/000162828022001184/exhibit104-super8xk.htm" TargetMode="External"/><Relationship Id="rId241" Type="http://schemas.openxmlformats.org/officeDocument/2006/relationships/hyperlink" Target="https://www.sec.gov/Archives/edgar/data/1819395/000119312521208884/d193832ds4.htm#rom193832_60" TargetMode="External"/><Relationship Id="rId242" Type="http://schemas.openxmlformats.org/officeDocument/2006/relationships/hyperlink" Target="https://www.sec.gov/Archives/edgar/data/1819395/000162828022001184/exhibit107-super8xk.htm" TargetMode="External"/><Relationship Id="rId243" Type="http://schemas.openxmlformats.org/officeDocument/2006/relationships/hyperlink" Target="https://www.sec.gov/ix?doc=/Archives/edgar/data/0001819395/000119312521355588/d193832ds4a.htm#rom193832_61" TargetMode="External"/><Relationship Id="rId244" Type="http://schemas.openxmlformats.org/officeDocument/2006/relationships/hyperlink" Target="https://www.sec.gov/Archives/edgar/data/1819395/000162828022001184/exhibit109-super8xk.htm" TargetMode="External"/><Relationship Id="rId245" Type="http://schemas.openxmlformats.org/officeDocument/2006/relationships/hyperlink" Target="https://www.sec.gov/Archives/edgar/data/1819395/000162828022001184/exhibit1010-super8xk.htm" TargetMode="External"/><Relationship Id="rId246" Type="http://schemas.openxmlformats.org/officeDocument/2006/relationships/hyperlink" Target="https://www.sec.gov/Archives/edgar/data/1819395/000162828022001184/exhibit1011-super8xk.htm" TargetMode="External"/><Relationship Id="rId247" Type="http://schemas.openxmlformats.org/officeDocument/2006/relationships/hyperlink" Target="https://www.sec.gov/Archives/edgar/data/1819395/000162828022001184/exhibit1012-super8xk.htm" TargetMode="External"/><Relationship Id="rId248" Type="http://schemas.openxmlformats.org/officeDocument/2006/relationships/hyperlink" Target="https://www.sec.gov/Archives/edgar/data/1819395/000162828022001184/exhibit1013-super8xk.htm" TargetMode="External"/><Relationship Id="rId251" Type="http://schemas.openxmlformats.org/officeDocument/2006/relationships/hyperlink" Target="https://www.sec.gov/Archives/edgar/data/1819395/000181939523000006/exhibit101-2023inducemen.htm" TargetMode="External"/><Relationship Id="rId252" Type="http://schemas.openxmlformats.org/officeDocument/2006/relationships/hyperlink" Target="https://www.sec.gov/Archives/edgar/data/1819395/000181939523000121/exhibit101-amendmentno1to2.htm" TargetMode="External"/><Relationship Id="rId253" Type="http://schemas.openxmlformats.org/officeDocument/2006/relationships/hyperlink" Target="https://www.sec.gov/Archives/edgar/data/1819395/000181939523000006/exhibit102-formofstockop.htm" TargetMode="External"/><Relationship Id="rId254" Type="http://schemas.openxmlformats.org/officeDocument/2006/relationships/hyperlink" Target="https://www.sec.gov/Archives/edgar/data/1819395/000181939523000006/exhibit103-formofrsuagre.htm" TargetMode="External"/><Relationship Id="rId255" Type="http://schemas.openxmlformats.org/officeDocument/2006/relationships/hyperlink" Target="https://www.sec.gov/Archives/edgar/data/1819395/000119312521300489/d193832dex107.htm" TargetMode="External"/><Relationship Id="rId256" Type="http://schemas.openxmlformats.org/officeDocument/2006/relationships/hyperlink" Target="https://www.sec.gov/ix?doc=/Archives/edgar/data/0001819395/000119312521340971/d193832ds4a.htm#rom193832_62" TargetMode="External"/><Relationship Id="rId257" Type="http://schemas.openxmlformats.org/officeDocument/2006/relationships/hyperlink" Target="https://www.sec.gov/Archives/edgar/data/1819395/000181939523000127/ex101-finalkeyexecutivecha.htm" TargetMode="External"/><Relationship Id="rId258" Type="http://schemas.openxmlformats.org/officeDocument/2006/relationships/hyperlink" Target="https://www.sec.gov/Archives/edgar/data/1819395/000119312521275554/d193832dex1011.htm" TargetMode="External"/><Relationship Id="rId259" Type="http://schemas.openxmlformats.org/officeDocument/2006/relationships/hyperlink" Target="https://www.sec.gov/Archives/edgar/data/0001819395/000181939523000074/exhibit101-sonder_offerx.htm" TargetMode="External"/><Relationship Id="rId260" Type="http://schemas.openxmlformats.org/officeDocument/2006/relationships/hyperlink" Target="https://www.sec.gov/Archives/edgar/data/1819395/000162828022001184/exhibit1023-super8xk.htm" TargetMode="External"/><Relationship Id="rId261" Type="http://schemas.openxmlformats.org/officeDocument/2006/relationships/hyperlink" Target="https://www.sec.gov/Archives/edgar/data/1819395/000181939523000168/ex103-finalamendedandres.htm" TargetMode="External"/><Relationship Id="rId262" Type="http://schemas.openxmlformats.org/officeDocument/2006/relationships/hyperlink" Target="https://www.sec.gov/Archives/edgar/data/1819395/000119312521355588/d193832dex1017.htm" TargetMode="External"/><Relationship Id="rId265" Type="http://schemas.openxmlformats.org/officeDocument/2006/relationships/hyperlink" Target="https://www.sec.gov/Archives/edgar/data/1819395/000181939523000029/exhibit1029-firstamendme.htm" TargetMode="External"/><Relationship Id="rId266" Type="http://schemas.openxmlformats.org/officeDocument/2006/relationships/hyperlink" Target="https://www.sec.gov/Archives/edgar/data/1819395/000181939523000029/exhibit1030-sonderxsvbxl.htm" TargetMode="External"/><Relationship Id="rId267" Type="http://schemas.openxmlformats.org/officeDocument/2006/relationships/hyperlink" Target="https://www.sec.gov/ix?doc=/Archives/edgar/data/0001819395/000181939523000067/son-20230428.htm" TargetMode="External"/><Relationship Id="rId268" Type="http://schemas.openxmlformats.org/officeDocument/2006/relationships/hyperlink" Target="https://www.sec.gov/Archives/edgar/data/1819395/000181939523000162/sonder-ex101svbloanamendme.htm" TargetMode="External"/><Relationship Id="rId269" Type="http://schemas.openxmlformats.org/officeDocument/2006/relationships/hyperlink" Target="https://www.sec.gov/Archives/edgar/data/1819395/000181939523000162/sonder-ex102omnibusnpaam.htm" TargetMode="External"/><Relationship Id="rId270" Type="http://schemas.openxmlformats.org/officeDocument/2006/relationships/hyperlink" Target="https://www.sec.gov/Archives/edgar/data/1819395/000162828022001184/exhibit1028-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2024-09-27T05:54:51Z</dcterms:created>
  <dcterms:modified xsi:type="dcterms:W3CDTF">2024-09-27T05:54:51Z</dcterms:modified>
</cp:coreProperties>
</file>